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5.0.0 -->
  <w:body>
    <w:p w:rsidR="005901B0" w:rsidRPr="002F40EA" w:rsidP="005901B0">
      <w:pPr>
        <w:ind w:left="540" w:right="419"/>
        <w:rPr>
          <w:b/>
          <w:color w:val="AF272F"/>
          <w:sz w:val="36"/>
          <w:szCs w:val="44"/>
          <w:lang w:val="en-AU"/>
        </w:rPr>
      </w:pPr>
      <w:r w:rsidRPr="002F40EA">
        <w:rPr>
          <w:b/>
          <w:color w:val="AF272F"/>
          <w:sz w:val="36"/>
          <w:szCs w:val="44"/>
          <w:lang w:val="en-AU"/>
        </w:rPr>
        <w:t xml:space="preserve">Annual Implementation Plan - </w:t>
      </w:r>
      <w:r w:rsidRPr="002F40EA">
        <w:rPr>
          <w:b/>
          <w:noProof/>
          <w:color w:val="AF272F"/>
          <w:sz w:val="36"/>
          <w:szCs w:val="36"/>
          <w:lang w:val="en-AU"/>
        </w:rPr>
        <w:t>2026</w:t>
      </w:r>
    </w:p>
    <w:p w:rsidR="00843995" w:rsidRPr="002F40EA" w:rsidP="00696980">
      <w:pPr>
        <w:pStyle w:val="ESIntroParagraph"/>
        <w:ind w:left="-567" w:right="1247" w:firstLine="1107"/>
        <w:rPr>
          <w:color w:val="595959" w:themeColor="text1" w:themeTint="A6"/>
          <w:lang w:val="en-AU"/>
        </w:rPr>
      </w:pPr>
      <w:r w:rsidRPr="002F40EA">
        <w:rPr>
          <w:noProof/>
          <w:color w:val="595959" w:themeColor="text1" w:themeTint="A6"/>
          <w:lang w:val="en-AU"/>
        </w:rPr>
        <w:t>Le Page Primary School (5422)</w:t>
      </w:r>
    </w:p>
    <w:p w:rsidR="00843995" w:rsidRPr="002F40EA" w:rsidP="00AF3BC2">
      <w:pPr>
        <w:pStyle w:val="ESIntroParagraph"/>
        <w:ind w:left="-562" w:right="4334"/>
        <w:rPr>
          <w:lang w:val="en-AU"/>
        </w:rPr>
      </w:pPr>
    </w:p>
    <w:p w:rsidR="00843995" w:rsidRPr="002F40EA" w:rsidP="00D84C0F">
      <w:pPr>
        <w:pStyle w:val="Heading1"/>
        <w:ind w:left="-567"/>
        <w:rPr>
          <w:lang w:val="en-AU"/>
        </w:rPr>
      </w:pPr>
    </w:p>
    <w:p w:rsidR="000B4FFD" w:rsidRPr="002F40EA" w:rsidP="00CB0768">
      <w:pPr>
        <w:pStyle w:val="ESHeading2"/>
        <w:jc w:val="center"/>
        <w:rPr>
          <w:b w:val="0"/>
          <w:sz w:val="44"/>
          <w:szCs w:val="44"/>
          <w:lang w:val="en-AU"/>
        </w:rPr>
      </w:pPr>
    </w:p>
    <w:p w:rsidR="00EC5878" w:rsidRPr="002F40EA" w:rsidP="00CB0768">
      <w:pPr>
        <w:pStyle w:val="ESHeading2"/>
        <w:jc w:val="center"/>
        <w:rPr>
          <w:b w:val="0"/>
          <w:sz w:val="44"/>
          <w:szCs w:val="44"/>
          <w:lang w:val="en-AU"/>
        </w:rPr>
      </w:pPr>
    </w:p>
    <w:p w:rsidR="00BA5195" w:rsidRPr="002F40EA" w:rsidP="00CB0768">
      <w:pPr>
        <w:pStyle w:val="ESHeading2"/>
        <w:jc w:val="center"/>
        <w:rPr>
          <w:lang w:val="en-AU"/>
        </w:rPr>
      </w:pPr>
      <w:r w:rsidRPr="002F40EA">
        <w:rPr>
          <w:b w:val="0"/>
          <w:noProof/>
          <w:sz w:val="44"/>
          <w:szCs w:val="44"/>
          <w:lang w:val="en-AU"/>
        </w:rPr>
        <w:drawing>
          <wp:anchor simplePos="0" relativeHeight="251658240" behindDoc="1" locked="0" layoutInCell="1" allowOverlap="1">
            <wp:simplePos x="0" y="0"/>
            <wp:positionH relativeFrom="page">
              <wp:align>center</wp:align>
            </wp:positionH>
            <wp:positionV relativeFrom="paragraph">
              <wp:posOffset>0</wp:posOffset>
            </wp:positionV>
            <wp:extent cx="3810532" cy="1914792"/>
            <wp:wrapNone/>
            <wp:docPr id="100019" name=""/>
            <wp:cNvGraphicFramePr/>
            <a:graphic xmlns:a="http://schemas.openxmlformats.org/drawingml/2006/main">
              <a:graphicData uri="http://schemas.openxmlformats.org/drawingml/2006/picture">
                <pic:pic xmlns:pic="http://schemas.openxmlformats.org/drawingml/2006/picture">
                  <pic:nvPicPr>
                    <pic:cNvPr id="100019" name=""/>
                    <pic:cNvPicPr/>
                  </pic:nvPicPr>
                  <pic:blipFill>
                    <a:blip xmlns:r="http://schemas.openxmlformats.org/officeDocument/2006/relationships" r:embed="rId9"/>
                    <a:stretch>
                      <a:fillRect/>
                    </a:stretch>
                  </pic:blipFill>
                  <pic:spPr>
                    <a:xfrm>
                      <a:off x="0" y="0"/>
                      <a:ext cx="3810532" cy="1914792"/>
                    </a:xfrm>
                    <a:prstGeom prst="rect">
                      <a:avLst/>
                    </a:prstGeom>
                  </pic:spPr>
                </pic:pic>
              </a:graphicData>
            </a:graphic>
          </wp:anchor>
        </w:drawing>
      </w:r>
    </w:p>
    <w:p w:rsidR="00CB0768" w:rsidRPr="002F40EA" w:rsidP="00A5212F">
      <w:pPr>
        <w:pStyle w:val="ESBodyText"/>
        <w:rPr>
          <w:lang w:val="en-AU"/>
        </w:rPr>
        <w:sectPr w:rsidSect="00E36291">
          <w:headerReference w:type="even" r:id="rId10"/>
          <w:headerReference w:type="default" r:id="rId11"/>
          <w:footerReference w:type="even" r:id="rId12"/>
          <w:footerReference w:type="default" r:id="rId13"/>
          <w:headerReference w:type="first" r:id="rId14"/>
          <w:pgSz w:w="11906" w:h="16838"/>
          <w:pgMar w:top="1005" w:right="737" w:bottom="1304" w:left="562" w:header="624" w:footer="1134" w:gutter="0"/>
          <w:cols w:space="397"/>
          <w:docGrid w:linePitch="360"/>
        </w:sectPr>
      </w:pPr>
      <w:r w:rsidRPr="002F40EA">
        <w:rPr>
          <w:rFonts w:ascii="Times New Roman" w:hAnsi="Times New Roman" w:cs="Times New Roman"/>
          <w:noProof/>
          <w:sz w:val="24"/>
          <w:szCs w:val="24"/>
          <w:lang w:val="en-AU" w:eastAsia="en-AU"/>
        </w:rPr>
        <mc:AlternateContent>
          <mc:Choice Requires="wps">
            <w:drawing>
              <wp:anchor distT="45720" distB="45720" distL="114300" distR="114300" simplePos="0" relativeHeight="251660288" behindDoc="1" locked="1" layoutInCell="1" allowOverlap="1">
                <wp:simplePos x="0" y="0"/>
                <wp:positionH relativeFrom="margin">
                  <wp:posOffset>100330</wp:posOffset>
                </wp:positionH>
                <wp:positionV relativeFrom="bottomMargin">
                  <wp:posOffset>-1260475</wp:posOffset>
                </wp:positionV>
                <wp:extent cx="9773920" cy="1134110"/>
                <wp:effectExtent l="0" t="0" r="0" b="8890"/>
                <wp:wrapNone/>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773920" cy="1134110"/>
                        </a:xfrm>
                        <a:prstGeom prst="rect">
                          <a:avLst/>
                        </a:prstGeom>
                        <a:solidFill>
                          <a:srgbClr val="FFFFFF"/>
                        </a:solidFill>
                        <a:ln w="9525">
                          <a:noFill/>
                          <a:miter lim="800000"/>
                          <a:headEnd/>
                          <a:tailEnd/>
                        </a:ln>
                      </wps:spPr>
                      <wps:txbx>
                        <w:txbxContent>
                          <w:p w:rsidR="00A5212F" w:rsidP="00A5212F">
                            <w:pPr>
                              <w:pStyle w:val="ESBodyText"/>
                            </w:pPr>
                            <w:r>
                              <w:rPr>
                                <w:noProof/>
                              </w:rPr>
                              <w:t>Submitted for review by Courtney Mason (School Principal) on 21 November, 2025 at 02:05 PM</w:t>
                              <w:br/>
                              <w:t>Endorsed by Stuart Edwards (Senior Education Improvement Leader) on 05 February, 2026 at 04:08 PM</w:t>
                              <w:br/>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89.3pt;margin-left:7.9pt;margin-top:-99.25pt;mso-height-percent:0;mso-height-relative:margin;mso-position-horizontal-relative:margin;mso-position-vertical-relative:bottom-margin-area;mso-width-percent:0;mso-width-relative:margin;mso-wrap-distance-bottom:3.6pt;mso-wrap-distance-left:9pt;mso-wrap-distance-right:9pt;mso-wrap-distance-top:3.6pt;position:absolute;width:769.6pt;z-index:-251657216" fillcolor="white" stroked="f" strokeweight="0.75pt">
                <v:stroke joinstyle="miter"/>
                <v:textbox>
                  <w:txbxContent>
                    <w:p w:rsidR="00A5212F" w:rsidP="00A5212F">
                      <w:pPr>
                        <w:pStyle w:val="ESBodyText"/>
                      </w:pPr>
                      <w:r>
                        <w:rPr>
                          <w:noProof/>
                        </w:rPr>
                        <w:t>Submitted for review by Courtney Mason (School Principal) on 21 November, 2025 at 02:05 PM</w:t>
                        <w:br/>
                        <w:t>Endorsed by Stuart Edwards (Senior Education Improvement Leader) on 05 February, 2026 at 04:08 PM</w:t>
                        <w:br/>
                      </w:r>
                    </w:p>
                  </w:txbxContent>
                </v:textbox>
                <w10:wrap anchorx="margin"/>
                <w10:anchorlock/>
              </v:shape>
            </w:pict>
          </mc:Fallback>
        </mc:AlternateContent>
      </w:r>
    </w:p>
    <w:p w:rsidR="006307C3" w:rsidRPr="002F40EA" w:rsidP="006C7A56">
      <w:pPr>
        <w:ind w:right="-542"/>
        <w:rPr>
          <w:b/>
          <w:color w:val="AF272F"/>
          <w:sz w:val="32"/>
          <w:szCs w:val="32"/>
          <w:lang w:val="en-AU"/>
        </w:rPr>
      </w:pPr>
      <w:r w:rsidRPr="002F40EA">
        <w:rPr>
          <w:b/>
          <w:color w:val="AF272F"/>
          <w:sz w:val="32"/>
          <w:szCs w:val="32"/>
          <w:lang w:val="en-AU"/>
        </w:rPr>
        <w:t xml:space="preserve">Define </w:t>
      </w:r>
      <w:r w:rsidR="00F0634E">
        <w:rPr>
          <w:b/>
          <w:color w:val="AF272F"/>
          <w:sz w:val="32"/>
          <w:szCs w:val="32"/>
        </w:rPr>
        <w:t>a</w:t>
      </w:r>
      <w:r w:rsidRPr="00700D80" w:rsidR="00F0634E">
        <w:rPr>
          <w:b/>
          <w:color w:val="AF272F"/>
          <w:sz w:val="32"/>
          <w:szCs w:val="32"/>
        </w:rPr>
        <w:t>ctions, evidence of change and tasks</w:t>
      </w:r>
    </w:p>
    <w:p w:rsidR="005539D1" w:rsidRPr="002F40EA" w:rsidP="00C259B6">
      <w:pPr>
        <w:pStyle w:val="ESIntroParagraph"/>
        <w:ind w:left="-567" w:right="4330" w:firstLine="567"/>
        <w:rPr>
          <w:color w:val="AF272F"/>
          <w:sz w:val="20"/>
          <w:szCs w:val="20"/>
          <w:lang w:val="en-AU"/>
        </w:rPr>
      </w:pPr>
    </w:p>
    <w:tbl>
      <w:tblPr>
        <w:tblStyle w:val="TableGrid"/>
        <w:tblW w:w="15021" w:type="dxa"/>
        <w:tblCellMar>
          <w:top w:w="115" w:type="dxa"/>
          <w:left w:w="115" w:type="dxa"/>
          <w:bottom w:w="115" w:type="dxa"/>
          <w:right w:w="115" w:type="dxa"/>
        </w:tblCellMar>
        <w:tblLook w:val="04A0"/>
      </w:tblPr>
      <w:tblGrid>
        <w:gridCol w:w="3119"/>
        <w:gridCol w:w="6799"/>
        <w:gridCol w:w="5103"/>
      </w:tblGrid>
      <w:tr w:rsidTr="00F0634E">
        <w:tblPrEx>
          <w:tblW w:w="15021" w:type="dxa"/>
          <w:tblCellMar>
            <w:top w:w="115" w:type="dxa"/>
            <w:left w:w="115" w:type="dxa"/>
            <w:bottom w:w="115" w:type="dxa"/>
            <w:right w:w="115" w:type="dxa"/>
          </w:tblCellMar>
          <w:tblLook w:val="04A0"/>
        </w:tblPrEx>
        <w:trPr>
          <w:trHeight w:val="110"/>
        </w:trPr>
        <w:tc>
          <w:tcPr>
            <w:tcW w:w="3119" w:type="dxa"/>
            <w:shd w:val="clear" w:color="auto" w:fill="D9D9D9" w:themeFill="background1" w:themeFillShade="D9"/>
            <w:noWrap w:val="0"/>
          </w:tcPr>
          <w:p w:rsidR="00973DEE" w:rsidRPr="002F40EA" w:rsidP="00FA4D4A">
            <w:pPr>
              <w:pStyle w:val="Heading3"/>
              <w:spacing w:before="0" w:after="0"/>
              <w:rPr>
                <w:szCs w:val="24"/>
                <w:lang w:val="en-AU"/>
              </w:rPr>
            </w:pPr>
            <w:r w:rsidRPr="002F40EA">
              <w:rPr>
                <w:rFonts w:ascii="Arial" w:eastAsia="Arial" w:hAnsi="Arial" w:cs="Arial"/>
                <w:b/>
                <w:sz w:val="24"/>
                <w:szCs w:val="24"/>
                <w:lang w:val="en-AU"/>
              </w:rPr>
              <w:t>Goal 1</w:t>
            </w:r>
          </w:p>
        </w:tc>
        <w:tc>
          <w:tcPr>
            <w:tcW w:w="11902" w:type="dxa"/>
            <w:gridSpan w:val="2"/>
            <w:shd w:val="clear" w:color="auto" w:fill="D9D9D9" w:themeFill="background1" w:themeFillShade="D9"/>
          </w:tcPr>
          <w:p w:rsidR="00973DEE" w:rsidRPr="0033147D" w:rsidP="00FE3D5C">
            <w:pPr>
              <w:pStyle w:val="ESBodyText"/>
              <w:spacing w:after="0"/>
              <w:rPr>
                <w:rFonts w:ascii="Arial" w:eastAsia="Arial" w:hAnsi="Arial" w:cs="Arial"/>
                <w:b w:val="0"/>
                <w:color w:val="auto"/>
                <w:sz w:val="22"/>
                <w:lang w:val="en-AU"/>
              </w:rPr>
            </w:pPr>
            <w:r w:rsidRPr="0033147D">
              <w:rPr>
                <w:rStyle w:val="DefaultParagraphFont"/>
                <w:rFonts w:ascii="Arial" w:eastAsia="Arial" w:hAnsi="Arial" w:cs="Arial"/>
                <w:b w:val="0"/>
                <w:color w:val="auto"/>
                <w:sz w:val="22"/>
              </w:rPr>
              <w:t>Improve student learning growth in literacy and numeracy</w:t>
            </w:r>
          </w:p>
        </w:tc>
      </w:tr>
      <w:tr w:rsidTr="00400BA1">
        <w:tblPrEx>
          <w:tblW w:w="15021" w:type="dxa"/>
          <w:tblCellMar>
            <w:top w:w="115" w:type="dxa"/>
            <w:left w:w="115" w:type="dxa"/>
            <w:bottom w:w="115" w:type="dxa"/>
            <w:right w:w="115" w:type="dxa"/>
          </w:tblCellMar>
          <w:tblLook w:val="04A0"/>
        </w:tblPrEx>
        <w:trPr>
          <w:trHeight w:val="15"/>
        </w:trPr>
        <w:tc>
          <w:tcPr>
            <w:tcW w:w="3119" w:type="dxa"/>
            <w:shd w:val="clear" w:color="auto" w:fill="009CA6"/>
            <w:noWrap w:val="0"/>
          </w:tcPr>
          <w:p w:rsidR="00973DEE" w:rsidRPr="002F40EA" w:rsidP="00171379">
            <w:pPr>
              <w:pStyle w:val="Heading3"/>
              <w:spacing w:before="0" w:after="0"/>
              <w:rPr>
                <w:szCs w:val="24"/>
                <w:lang w:val="en-AU"/>
              </w:rPr>
            </w:pPr>
            <w:r w:rsidRPr="002F40EA">
              <w:rPr>
                <w:rFonts w:ascii="Arial" w:eastAsia="Arial" w:hAnsi="Arial" w:cs="Arial"/>
                <w:sz w:val="22"/>
                <w:szCs w:val="24"/>
                <w:lang w:val="en-AU"/>
              </w:rPr>
              <w:t>KIS 1.a</w:t>
            </w:r>
          </w:p>
        </w:tc>
        <w:tc>
          <w:tcPr>
            <w:tcW w:w="11902" w:type="dxa"/>
            <w:gridSpan w:val="2"/>
            <w:shd w:val="clear" w:color="auto" w:fill="009CA6"/>
            <w:noWrap w:val="0"/>
          </w:tcPr>
          <w:p w:rsidR="00973DEE" w:rsidRPr="0033147D" w:rsidP="00FE3D5C">
            <w:pPr>
              <w:pStyle w:val="ESBodyText"/>
              <w:spacing w:after="0"/>
              <w:rPr>
                <w:b/>
                <w:bCs/>
                <w:lang w:val="en-AU"/>
              </w:rPr>
            </w:pPr>
            <w:r>
              <w:rPr>
                <w:rFonts w:ascii="Arial" w:eastAsia="Arial" w:hAnsi="Arial" w:cs="Arial"/>
                <w:sz w:val="22"/>
              </w:rPr>
              <w:t>Review and revise the instructional model and planning documentation to align with effective and consistent implementation of VTLM 2.0.</w:t>
            </w:r>
          </w:p>
        </w:tc>
      </w:tr>
      <w:tr w:rsidTr="00F0634E">
        <w:tblPrEx>
          <w:tblW w:w="15021" w:type="dxa"/>
          <w:tblCellMar>
            <w:top w:w="115" w:type="dxa"/>
            <w:left w:w="115" w:type="dxa"/>
            <w:bottom w:w="115" w:type="dxa"/>
            <w:right w:w="115" w:type="dxa"/>
          </w:tblCellMar>
          <w:tblLook w:val="04A0"/>
        </w:tblPrEx>
        <w:trPr>
          <w:trHeight w:val="263"/>
        </w:trPr>
        <w:tc>
          <w:tcPr>
            <w:tcW w:w="3119" w:type="dxa"/>
            <w:shd w:val="clear" w:color="auto" w:fill="D9D9D9" w:themeFill="background1" w:themeFillShade="D9"/>
            <w:noWrap w:val="0"/>
          </w:tcPr>
          <w:p w:rsidR="003E1FC6" w:rsidRPr="002F40EA" w:rsidP="00AF3BC2">
            <w:pPr>
              <w:pStyle w:val="ESBodyText"/>
              <w:spacing w:after="0"/>
              <w:rPr>
                <w:b/>
                <w:sz w:val="20"/>
                <w:szCs w:val="24"/>
                <w:lang w:val="en-AU"/>
              </w:rPr>
            </w:pPr>
            <w:r w:rsidRPr="002F40EA">
              <w:rPr>
                <w:rFonts w:ascii="Arial" w:eastAsia="Arial" w:hAnsi="Arial" w:cs="Arial"/>
                <w:b/>
                <w:sz w:val="22"/>
                <w:szCs w:val="24"/>
                <w:lang w:val="en-AU"/>
              </w:rPr>
              <w:t>Actions</w:t>
            </w:r>
          </w:p>
        </w:tc>
        <w:tc>
          <w:tcPr>
            <w:tcW w:w="11902" w:type="dxa"/>
            <w:gridSpan w:val="2"/>
            <w:noWrap w:val="0"/>
          </w:tcPr>
          <w:p w:rsidR="003E1FC6" w:rsidRPr="0033147D" w:rsidP="00AF3BC2">
            <w:pPr>
              <w:pStyle w:val="ESBodyText"/>
              <w:spacing w:after="0"/>
              <w:rPr>
                <w:lang w:val="en-AU"/>
              </w:rPr>
            </w:pPr>
            <w:r>
              <w:rPr>
                <w:rFonts w:ascii="Arial" w:eastAsia="Arial" w:hAnsi="Arial" w:cs="Arial"/>
                <w:sz w:val="22"/>
              </w:rPr>
              <w:t>Strengthen quality and consistency of teacher classroom practice.</w:t>
            </w:r>
          </w:p>
        </w:tc>
      </w:tr>
      <w:tr w:rsidTr="00F0634E">
        <w:tblPrEx>
          <w:tblW w:w="15021" w:type="dxa"/>
          <w:tblCellMar>
            <w:top w:w="115" w:type="dxa"/>
            <w:left w:w="115" w:type="dxa"/>
            <w:bottom w:w="115" w:type="dxa"/>
            <w:right w:w="115" w:type="dxa"/>
          </w:tblCellMar>
          <w:tblLook w:val="04A0"/>
        </w:tblPrEx>
        <w:trPr>
          <w:trHeight w:val="263"/>
        </w:trPr>
        <w:tc>
          <w:tcPr>
            <w:tcW w:w="3119" w:type="dxa"/>
            <w:shd w:val="clear" w:color="auto" w:fill="D9D9D9" w:themeFill="background1" w:themeFillShade="D9"/>
          </w:tcPr>
          <w:p w:rsidR="00737849" w:rsidRPr="002F40EA" w:rsidP="00AF3BC2">
            <w:pPr>
              <w:pStyle w:val="ESBodyText"/>
              <w:spacing w:after="0"/>
              <w:rPr>
                <w:b/>
                <w:sz w:val="20"/>
                <w:szCs w:val="24"/>
                <w:lang w:val="en-AU"/>
              </w:rPr>
            </w:pPr>
            <w:r>
              <w:rPr>
                <w:b/>
                <w:sz w:val="20"/>
                <w:szCs w:val="24"/>
                <w:lang w:val="en-AU"/>
              </w:rPr>
              <w:t>Evidence of change</w:t>
            </w:r>
          </w:p>
        </w:tc>
        <w:tc>
          <w:tcPr>
            <w:tcW w:w="11902" w:type="dxa"/>
            <w:gridSpan w:val="2"/>
            <w:noWrap w:val="0"/>
          </w:tcPr>
          <w:p w:rsidR="00737849" w:rsidRPr="0033147D" w:rsidP="00AF3BC2">
            <w:pPr>
              <w:pStyle w:val="ESBodyText"/>
              <w:spacing w:after="0"/>
              <w:rPr>
                <w:lang w:val="en-AU"/>
              </w:rPr>
            </w:pPr>
            <w:r>
              <w:rPr>
                <w:rFonts w:ascii="Arial" w:eastAsia="Arial" w:hAnsi="Arial" w:cs="Arial"/>
                <w:sz w:val="22"/>
              </w:rPr>
              <w:t>Instruction becomes consistent and predictable across all classrooms</w:t>
              <w:br/>
              <w:t>Teachers use the same instructional model, Playbooks, and lesson structures, resulting in:</w:t>
              <w:br/>
              <w:t>- observable alignment in lesson openings, explicit teaching routines, guided practice, and review cycles</w:t>
              <w:br/>
              <w:t>- consistent use of learning intentions, success criteria, and common planning templates</w:t>
              <w:br/>
              <w:t>- more predictable, high-quality learning experiences for students across F–6</w:t>
              <w:br/>
              <w:t>This demonstrates that the whole-school framework is embedded in daily practice.</w:t>
              <w:br/>
              <w:br/>
              <w:t>Planning, assessment, and PLC conversations demonstrate a shared pedagogical language</w:t>
              <w:br/>
              <w:t>Teams use consistent terminology from VTLM 2.0, PHORMES, OCHRE, and the Playbooks, shown through:</w:t>
              <w:br/>
              <w:t>- aligned planning documents and common assessment protocols</w:t>
              <w:br/>
              <w:t>- PLC cycles focused on shared practices and high-impact strategies</w:t>
              <w:br/>
              <w:t>- clearer moderation processes and improved alignment between teacher judgments</w:t>
              <w:br/>
              <w:t>This shows that the instructional framework is driving collective efficacy and coherence.</w:t>
              <w:br/>
              <w:br/>
              <w:t>Learning Walks, coaching cycles, and student work samples show measurable improvement in instructional quality</w:t>
              <w:br/>
              <w:t>Across the year, evidence shows:</w:t>
              <w:br/>
              <w:t>- increasing alignment with Playbook practices during classroom observations</w:t>
              <w:br/>
              <w:t>- stronger modelling, feedback, questioning, and differentiation</w:t>
              <w:br/>
              <w:t>- student work samples demonstrating improved task clarity, accuracy, and growth</w:t>
              <w:br/>
              <w:t>This confirms that the framework is not only implemented but improving teaching quality and student outcomes over time.</w:t>
              <w:br/>
              <w:br/>
              <w:t>Mid-Year Reflection</w:t>
              <w:br/>
              <w:br/>
              <w:t>At the midpoint of the year, significant progress has been made towards strengthening the quality and consistency of teacher classroom practice across the school. Under the effective guidance and leadership of James Marnell, staff have maintained a strong focus on embedding the Victorian Teaching and Learning Model (VTLM 2.0) through consistent use of instructional Playbooks, common lesson structures, and agreed pedagogical approaches.</w:t>
              <w:br/>
              <w:br/>
              <w:t>A key area of focus has been the implementation of Positive Classroom Management Strategy 3: Encouraging Expected Behaviour, particularly Step 5 – Specific Positive Feedback. Teachers have actively developed their capacity to provide contingent attention through specific positive feedback when students demonstrate expected behaviours. This practice has been reinforced through professional learning, coaching conversations, classroom observations, and PLC discussions. As a result, classrooms are increasingly characterised by positive learning environments where expected behaviours are explicitly recognised, reinforced, and linked to learning success.</w:t>
              <w:br/>
              <w:br/>
              <w:t>Evidence collected through Learning Walks and coaching cycles indicates increasing consistency in lesson design and delivery, including the use of learning intentions, success criteria, explicit teaching routines, guided practice, and review cycles. Teachers are demonstrating greater alignment with the school's Playbooks and instructional expectations, creating more predictable and engaging learning experiences for students across F–6.</w:t>
              <w:br/>
              <w:br/>
              <w:t>Planning documentation, assessment practices, and PLC conversations reflect a growing shared pedagogical language. Staff are increasingly utilising the terminology and frameworks associated with VTLM 2.0, PHORMES, OCHRE, and the Playbooks to support collaborative planning, moderation, and instructional decision-making. This has strengthened collective efficacy and enhanced consistency in teacher judgments.</w:t>
              <w:br/>
              <w:br/>
              <w:t>Student work samples, classroom observations, and feedback from Learning Walks demonstrate measurable improvements in instructional quality, particularly in teacher modelling, feedback practices, questioning techniques, and differentiation. The consistent use of specific positive feedback is contributing to improved student engagement, self-regulation, and readiness to learn, supporting continued growth in literacy and numeracy outcomes.</w:t>
              <w:br/>
              <w:br/>
              <w:t>Overall, the school is on track to achieve the intended outcomes of this Key Improvement Strategy, with the instructional framework becoming increasingly embedded in daily practice and positively influencing both teaching quality and student learning.</w:t>
            </w:r>
          </w:p>
        </w:tc>
      </w:tr>
      <w:tr w:rsidTr="00400BA1">
        <w:tblPrEx>
          <w:tblW w:w="15021" w:type="dxa"/>
          <w:tblCellMar>
            <w:top w:w="115" w:type="dxa"/>
            <w:left w:w="115" w:type="dxa"/>
            <w:bottom w:w="115" w:type="dxa"/>
            <w:right w:w="115" w:type="dxa"/>
          </w:tblCellMar>
          <w:tblLook w:val="04A0"/>
        </w:tblPrEx>
        <w:trPr>
          <w:trHeight w:val="264"/>
        </w:trPr>
        <w:tc>
          <w:tcPr>
            <w:tcW w:w="9918" w:type="dxa"/>
            <w:gridSpan w:val="2"/>
            <w:shd w:val="clear" w:color="auto" w:fill="D9D9D9" w:themeFill="background1" w:themeFillShade="D9"/>
          </w:tcPr>
          <w:p w:rsidR="00F0634E" w:rsidRPr="002F40EA" w:rsidP="00FA4D4A">
            <w:pPr>
              <w:pStyle w:val="Heading3"/>
              <w:spacing w:before="0" w:after="0"/>
              <w:rPr>
                <w:szCs w:val="24"/>
                <w:lang w:val="en-AU"/>
              </w:rPr>
            </w:pPr>
            <w:r>
              <w:rPr>
                <w:szCs w:val="24"/>
                <w:lang w:val="en-AU"/>
              </w:rPr>
              <w:t>Tasks</w:t>
            </w:r>
          </w:p>
        </w:tc>
        <w:tc>
          <w:tcPr>
            <w:tcW w:w="5103" w:type="dxa"/>
            <w:shd w:val="clear" w:color="auto" w:fill="D9D9D9" w:themeFill="background1" w:themeFillShade="D9"/>
          </w:tcPr>
          <w:p w:rsidR="00F0634E" w:rsidRPr="002F40EA" w:rsidP="00FA4D4A">
            <w:pPr>
              <w:pStyle w:val="Heading3"/>
              <w:spacing w:before="0" w:after="0"/>
              <w:rPr>
                <w:szCs w:val="24"/>
                <w:lang w:val="en-AU"/>
              </w:rPr>
            </w:pPr>
            <w:r w:rsidRPr="002F40EA">
              <w:rPr>
                <w:szCs w:val="24"/>
                <w:lang w:val="en-AU"/>
              </w:rPr>
              <w:t>People responsible</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Embed common assessment tools scope and sequence to monitor the teaching and learning in classes to inform participation to tier 1, 2 and 3 supports.</w:t>
              <w:br/>
              <w:br/>
              <w:t>The Learning Specialists and SIT continued to build staff capacity to administer all assessment tools. The academic tools e.g. MOI, DIBELS, Rich Comprehension Assessments, Writing Benchmark CATs, PAT Reading and Maths Adaptive, Essential Assessment Number and Algebra, Formative and Summative Data Sets, NAPLAN, and anacdotal records. The students' result data and anecdotal records have been the qualifier for Tier 2 additional support e.g. small group and 1:1 tutoring in Literacy and Maths with additional staff. Data collections have been referred to for Tier 3 supports as NDIS and othe agencies work in and outside the school to support these students. The school's Referral Flow Chart is referred to support the accuracy of identifying students' academic needs.</w:t>
              <w:br/>
              <w:br/>
              <w:t>The HMIPS leader has worked with the staff to identify the levels of support social and emotional support required for every student. The school's Wellbeing Tracker is completed termly and includes student surveys and teacher judgements against the school's Referral Flow Chart and the Children's Wellbeing Continuum.</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Assistant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Disability inclusion coordinator</w:t>
            </w:r>
          </w:p>
          <w:p>
            <w:r>
              <w:rPr>
                <w:rFonts w:ascii="Wingdings" w:eastAsia="Wingdings" w:hAnsi="Wingdings" w:cs="Wingdings"/>
                <w:color w:val="008000"/>
                <w:sz w:val="24"/>
              </w:rPr>
              <w:sym w:font="Wingdings" w:char="F0FE"/>
            </w:r>
            <w:r>
              <w:rPr>
                <w:rFonts w:ascii="Arial" w:eastAsia="Arial" w:hAnsi="Arial" w:cs="Arial"/>
                <w:color w:val="000000"/>
                <w:sz w:val="22"/>
              </w:rPr>
              <w:t xml:space="preserve"> Leadership team</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Documenting whole school literacy and numeracy instructional models and playbooks (including instructional videos)</w:t>
              <w:br/>
              <w:br/>
              <w:t xml:space="preserve">The Literacy and Numeracy Learning Specialists continue to facilitate the construct of F-6 scope and sequenced playbooks. This has been worked on for 18 month and will continue. The OCHER slides have been used as the baseline for this work.  </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Leadership team</w:t>
            </w:r>
          </w:p>
          <w:p>
            <w:r>
              <w:rPr>
                <w:rFonts w:ascii="Wingdings" w:eastAsia="Wingdings" w:hAnsi="Wingdings" w:cs="Wingdings"/>
                <w:color w:val="008000"/>
                <w:sz w:val="24"/>
              </w:rPr>
              <w:sym w:font="Wingdings" w:char="F0FE"/>
            </w:r>
            <w:r>
              <w:rPr>
                <w:rFonts w:ascii="Arial" w:eastAsia="Arial" w:hAnsi="Arial" w:cs="Arial"/>
                <w:color w:val="000000"/>
                <w:sz w:val="22"/>
              </w:rPr>
              <w:t xml:space="preserve"> Literacy leader</w:t>
            </w:r>
          </w:p>
          <w:p>
            <w:r>
              <w:rPr>
                <w:rFonts w:ascii="Wingdings" w:eastAsia="Wingdings" w:hAnsi="Wingdings" w:cs="Wingdings"/>
                <w:color w:val="008000"/>
                <w:sz w:val="24"/>
              </w:rPr>
              <w:sym w:font="Wingdings" w:char="F0FE"/>
            </w:r>
            <w:r>
              <w:rPr>
                <w:rFonts w:ascii="Arial" w:eastAsia="Arial" w:hAnsi="Arial" w:cs="Arial"/>
                <w:color w:val="000000"/>
                <w:sz w:val="22"/>
              </w:rPr>
              <w:t xml:space="preserve"> Numeracy leader</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Establish formal documented procedures for modelling and peer observations</w:t>
              <w:br/>
              <w:br/>
              <w:t>Observers using the Classroom Management Observation Tool. Teachers and ESS participated in the observation process.</w:t>
              <w:br/>
              <w:br/>
              <w:t>The Literacy and Numeracy Learning Specialists, Leading Teacher and Assistant Principal participated in the online Coaching professional learning program in Term 2. Building coaching capacity will be a continued focus.</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Assistant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Literacy leader</w:t>
            </w:r>
          </w:p>
          <w:p>
            <w:r>
              <w:rPr>
                <w:rFonts w:ascii="Wingdings" w:eastAsia="Wingdings" w:hAnsi="Wingdings" w:cs="Wingdings"/>
                <w:color w:val="008000"/>
                <w:sz w:val="24"/>
              </w:rPr>
              <w:sym w:font="Wingdings" w:char="F0FE"/>
            </w:r>
            <w:r>
              <w:rPr>
                <w:rFonts w:ascii="Arial" w:eastAsia="Arial" w:hAnsi="Arial" w:cs="Arial"/>
                <w:color w:val="000000"/>
                <w:sz w:val="22"/>
              </w:rPr>
              <w:t xml:space="preserve"> Numeracy leader</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Audit and refine classroom teaching practices to incorporate PCMS, with a focus on strategies 5-8 (supported by PCMS coach)</w:t>
              <w:br/>
              <w:br/>
              <w:t>Last Term the staff's PLC focus was on PCMS 3. Led by James Marnell the staff were observed pre and post the PLC cycle. The CMOT showed significant increases of teachers and ESS practicing positive feedback to students. It was observed that staff were preparing the students to improve their focus and behaviour at the start of lessons and ongoingly throughout the lessons.</w:t>
              <w:br/>
              <w:br/>
              <w:t xml:space="preserve">To support the reference to values and behaviours the staff was wanting students to adhere to, class mission statements were reviewed and simplifying from a paragraph statement to a shorter (in some cases dot points) focus on the verbs in the mission statements. This created an anchor chart that was easier to see in the classroom and easier to read the message - to clearly see the expected values and behaviour.  </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Leadership team</w:t>
            </w:r>
          </w:p>
        </w:tc>
      </w:tr>
      <w:tr w:rsidTr="00F0634E">
        <w:tblPrEx>
          <w:tblW w:w="15021" w:type="dxa"/>
          <w:tblCellMar>
            <w:top w:w="115" w:type="dxa"/>
            <w:left w:w="115" w:type="dxa"/>
            <w:bottom w:w="115" w:type="dxa"/>
            <w:right w:w="115" w:type="dxa"/>
          </w:tblCellMar>
          <w:tblLook w:val="04A0"/>
        </w:tblPrEx>
        <w:trPr>
          <w:trHeight w:val="110"/>
        </w:trPr>
        <w:tc>
          <w:tcPr>
            <w:tcW w:w="3119" w:type="dxa"/>
            <w:shd w:val="clear" w:color="auto" w:fill="D9D9D9" w:themeFill="background1" w:themeFillShade="D9"/>
            <w:noWrap w:val="0"/>
          </w:tcPr>
          <w:p w:rsidR="00973DEE" w:rsidRPr="002F40EA" w:rsidP="00FA4D4A">
            <w:pPr>
              <w:pStyle w:val="Heading3"/>
              <w:spacing w:before="0" w:after="0"/>
              <w:rPr>
                <w:szCs w:val="24"/>
                <w:lang w:val="en-AU"/>
              </w:rPr>
            </w:pPr>
            <w:r w:rsidRPr="002F40EA">
              <w:rPr>
                <w:rFonts w:ascii="Arial" w:eastAsia="Arial" w:hAnsi="Arial" w:cs="Arial"/>
                <w:b/>
                <w:sz w:val="24"/>
                <w:szCs w:val="24"/>
                <w:lang w:val="en-AU"/>
              </w:rPr>
              <w:t>Goal 2</w:t>
            </w:r>
          </w:p>
        </w:tc>
        <w:tc>
          <w:tcPr>
            <w:tcW w:w="11902" w:type="dxa"/>
            <w:gridSpan w:val="2"/>
            <w:shd w:val="clear" w:color="auto" w:fill="D9D9D9" w:themeFill="background1" w:themeFillShade="D9"/>
          </w:tcPr>
          <w:p w:rsidR="00973DEE" w:rsidRPr="0033147D" w:rsidP="00FE3D5C">
            <w:pPr>
              <w:pStyle w:val="ESBodyText"/>
              <w:spacing w:after="0"/>
              <w:rPr>
                <w:rFonts w:ascii="Arial" w:eastAsia="Arial" w:hAnsi="Arial" w:cs="Arial"/>
                <w:b w:val="0"/>
                <w:color w:val="auto"/>
                <w:sz w:val="22"/>
                <w:lang w:val="en-AU"/>
              </w:rPr>
            </w:pPr>
            <w:r w:rsidRPr="0033147D">
              <w:rPr>
                <w:rStyle w:val="DefaultParagraphFont"/>
                <w:rFonts w:ascii="Arial" w:eastAsia="Arial" w:hAnsi="Arial" w:cs="Arial"/>
                <w:b w:val="0"/>
                <w:color w:val="auto"/>
                <w:sz w:val="22"/>
              </w:rPr>
              <w:t>Maintain high levels of student engagement and wellbeing</w:t>
            </w:r>
          </w:p>
        </w:tc>
      </w:tr>
      <w:tr w:rsidTr="00400BA1">
        <w:tblPrEx>
          <w:tblW w:w="15021" w:type="dxa"/>
          <w:tblCellMar>
            <w:top w:w="115" w:type="dxa"/>
            <w:left w:w="115" w:type="dxa"/>
            <w:bottom w:w="115" w:type="dxa"/>
            <w:right w:w="115" w:type="dxa"/>
          </w:tblCellMar>
          <w:tblLook w:val="04A0"/>
        </w:tblPrEx>
        <w:trPr>
          <w:trHeight w:val="15"/>
        </w:trPr>
        <w:tc>
          <w:tcPr>
            <w:tcW w:w="3119" w:type="dxa"/>
            <w:shd w:val="clear" w:color="auto" w:fill="E35205"/>
            <w:noWrap w:val="0"/>
          </w:tcPr>
          <w:p w:rsidR="00973DEE" w:rsidRPr="002F40EA" w:rsidP="00171379">
            <w:pPr>
              <w:pStyle w:val="Heading3"/>
              <w:spacing w:before="0" w:after="0"/>
              <w:rPr>
                <w:szCs w:val="24"/>
                <w:lang w:val="en-AU"/>
              </w:rPr>
            </w:pPr>
            <w:r w:rsidRPr="002F40EA">
              <w:rPr>
                <w:rFonts w:ascii="Arial" w:eastAsia="Arial" w:hAnsi="Arial" w:cs="Arial"/>
                <w:sz w:val="22"/>
                <w:szCs w:val="24"/>
                <w:lang w:val="en-AU"/>
              </w:rPr>
              <w:t>KIS 2.a</w:t>
            </w:r>
          </w:p>
        </w:tc>
        <w:tc>
          <w:tcPr>
            <w:tcW w:w="11902" w:type="dxa"/>
            <w:gridSpan w:val="2"/>
            <w:shd w:val="clear" w:color="auto" w:fill="E35205"/>
            <w:noWrap w:val="0"/>
          </w:tcPr>
          <w:p w:rsidR="00973DEE" w:rsidRPr="0033147D" w:rsidP="00FE3D5C">
            <w:pPr>
              <w:pStyle w:val="ESBodyText"/>
              <w:spacing w:after="0"/>
              <w:rPr>
                <w:b/>
                <w:bCs/>
                <w:lang w:val="en-AU"/>
              </w:rPr>
            </w:pPr>
            <w:r>
              <w:rPr>
                <w:rFonts w:ascii="Arial" w:eastAsia="Arial" w:hAnsi="Arial" w:cs="Arial"/>
                <w:sz w:val="22"/>
              </w:rPr>
              <w:t>Implement revised approaches for monitoring and communicating student absence and enhance strategies to support students and families.</w:t>
            </w:r>
          </w:p>
        </w:tc>
      </w:tr>
      <w:tr w:rsidTr="00F0634E">
        <w:tblPrEx>
          <w:tblW w:w="15021" w:type="dxa"/>
          <w:tblCellMar>
            <w:top w:w="115" w:type="dxa"/>
            <w:left w:w="115" w:type="dxa"/>
            <w:bottom w:w="115" w:type="dxa"/>
            <w:right w:w="115" w:type="dxa"/>
          </w:tblCellMar>
          <w:tblLook w:val="04A0"/>
        </w:tblPrEx>
        <w:trPr>
          <w:trHeight w:val="263"/>
        </w:trPr>
        <w:tc>
          <w:tcPr>
            <w:tcW w:w="3119" w:type="dxa"/>
            <w:shd w:val="clear" w:color="auto" w:fill="D9D9D9" w:themeFill="background1" w:themeFillShade="D9"/>
            <w:noWrap w:val="0"/>
          </w:tcPr>
          <w:p w:rsidR="003E1FC6" w:rsidRPr="002F40EA" w:rsidP="00AF3BC2">
            <w:pPr>
              <w:pStyle w:val="ESBodyText"/>
              <w:spacing w:after="0"/>
              <w:rPr>
                <w:b/>
                <w:sz w:val="20"/>
                <w:szCs w:val="24"/>
                <w:lang w:val="en-AU"/>
              </w:rPr>
            </w:pPr>
            <w:r w:rsidRPr="002F40EA">
              <w:rPr>
                <w:rFonts w:ascii="Arial" w:eastAsia="Arial" w:hAnsi="Arial" w:cs="Arial"/>
                <w:b/>
                <w:sz w:val="22"/>
                <w:szCs w:val="24"/>
                <w:lang w:val="en-AU"/>
              </w:rPr>
              <w:t>Actions</w:t>
            </w:r>
          </w:p>
        </w:tc>
        <w:tc>
          <w:tcPr>
            <w:tcW w:w="11902" w:type="dxa"/>
            <w:gridSpan w:val="2"/>
            <w:noWrap w:val="0"/>
          </w:tcPr>
          <w:p w:rsidR="003E1FC6" w:rsidRPr="0033147D" w:rsidP="00AF3BC2">
            <w:pPr>
              <w:pStyle w:val="ESBodyText"/>
              <w:spacing w:after="0"/>
              <w:rPr>
                <w:lang w:val="en-AU"/>
              </w:rPr>
            </w:pPr>
            <w:r>
              <w:rPr>
                <w:rFonts w:ascii="Arial" w:eastAsia="Arial" w:hAnsi="Arial" w:cs="Arial"/>
                <w:sz w:val="22"/>
              </w:rPr>
              <w:t>Strengthen wellbeing MTSS to incorporate attendance data and processes</w:t>
            </w:r>
          </w:p>
        </w:tc>
      </w:tr>
      <w:tr w:rsidTr="00F0634E">
        <w:tblPrEx>
          <w:tblW w:w="15021" w:type="dxa"/>
          <w:tblCellMar>
            <w:top w:w="115" w:type="dxa"/>
            <w:left w:w="115" w:type="dxa"/>
            <w:bottom w:w="115" w:type="dxa"/>
            <w:right w:w="115" w:type="dxa"/>
          </w:tblCellMar>
          <w:tblLook w:val="04A0"/>
        </w:tblPrEx>
        <w:trPr>
          <w:trHeight w:val="263"/>
        </w:trPr>
        <w:tc>
          <w:tcPr>
            <w:tcW w:w="3119" w:type="dxa"/>
            <w:shd w:val="clear" w:color="auto" w:fill="D9D9D9" w:themeFill="background1" w:themeFillShade="D9"/>
          </w:tcPr>
          <w:p w:rsidR="00737849" w:rsidRPr="002F40EA" w:rsidP="00AF3BC2">
            <w:pPr>
              <w:pStyle w:val="ESBodyText"/>
              <w:spacing w:after="0"/>
              <w:rPr>
                <w:b/>
                <w:sz w:val="20"/>
                <w:szCs w:val="24"/>
                <w:lang w:val="en-AU"/>
              </w:rPr>
            </w:pPr>
            <w:r>
              <w:rPr>
                <w:b/>
                <w:sz w:val="20"/>
                <w:szCs w:val="24"/>
                <w:lang w:val="en-AU"/>
              </w:rPr>
              <w:t>Evidence of change</w:t>
            </w:r>
          </w:p>
        </w:tc>
        <w:tc>
          <w:tcPr>
            <w:tcW w:w="11902" w:type="dxa"/>
            <w:gridSpan w:val="2"/>
            <w:noWrap w:val="0"/>
          </w:tcPr>
          <w:p w:rsidR="00737849" w:rsidRPr="0033147D" w:rsidP="00AF3BC2">
            <w:pPr>
              <w:pStyle w:val="ESBodyText"/>
              <w:spacing w:after="0"/>
              <w:rPr>
                <w:lang w:val="en-AU"/>
              </w:rPr>
            </w:pPr>
            <w:r>
              <w:rPr>
                <w:rFonts w:ascii="Arial" w:eastAsia="Arial" w:hAnsi="Arial" w:cs="Arial"/>
                <w:sz w:val="22"/>
              </w:rPr>
              <w:t>Consistent attendance and punctuality practices are embedded across all classrooms</w:t>
              <w:br/>
              <w:t>Teachers apply the same daily routines, codes, and follow-up processes, resulting in:</w:t>
              <w:br/>
              <w:t>- fewer recording errors predictable responses for students and families</w:t>
              <w:br/>
              <w:t>- a visible reduction in late arrivals during morning transitions</w:t>
              <w:br/>
              <w:t>This consistency demonstrates that the whole-school system is being used reliably and uniformly.</w:t>
              <w:br/>
              <w:br/>
              <w:t>Early intervention responses increase, with improved family engagement and supportive problem-solving</w:t>
              <w:br/>
              <w:t>Teachers and wellbeing staff make timely contact (same-day follow-ups), leading to:</w:t>
              <w:br/>
              <w:t>- more families accessing early support</w:t>
              <w:br/>
              <w:t>- earlier identification of barriers to attendance increased positive communication between school and home</w:t>
              <w:br/>
              <w:t>This shift shows that the system is proactive rather than reactive.</w:t>
              <w:br/>
              <w:br/>
              <w:t>Student attendance improves, with a reduction in chronic absence and repeated lateness</w:t>
              <w:br/>
              <w:t>Term-by-term data shows:</w:t>
              <w:br/>
              <w:t>- fewer students reaching 20+ days of absence for the year</w:t>
              <w:br/>
              <w:t>- fewer students with persistent late arrivals</w:t>
              <w:br/>
              <w:t>- individual attendance plans demonstrating measurable improvement</w:t>
              <w:br/>
              <w:t>These changes reflect stronger student connectedness, earlier support processes, and improved routines across the school.</w:t>
              <w:br/>
              <w:br/>
              <w:br/>
              <w:t>Mid-Year Reflection</w:t>
              <w:br/>
              <w:br/>
              <w:t>At the midpoint of the year, the school has made strong progress towards strengthening attendance processes and embedding a well-being-focused Multi-Tiered System of Supports (MTSS) framework. A consistent and proactive approach to attendance monitoring and communication has supported improved student engagement, family partnerships, and early intervention practices.</w:t>
              <w:br/>
              <w:t>A key focus has been strengthening communication with families regarding the importance of regular attendance and punctuality. Regular messaging through Compass has reinforced the connection between attendance, engagement, and learning outcomes, while also communicating school expectations and available supports. These communications have contributed to increased parent awareness and engagement in supporting positive attendance habits.</w:t>
              <w:br/>
              <w:br/>
              <w:t>To further promote a culture of attendance, the school has implemented 5-week attendance cycles across all classes. Student attendance achievements are celebrated through whole-school assembly recognition, with awards presented to classes achieving the highest attendance rates. To encourage participation and acknowledge growth, awards are also presented to the most improved classes, recognising progress as well as achievement. As an additional incentive, the class with the highest attendance for each cycle receives a free lunch order, generating positive student engagement and collective responsibility for attendance.</w:t>
              <w:br/>
              <w:br/>
              <w:t>Attendance practices have become increasingly consistent across classrooms, with staff implementing agreed routines, attendance recording processes, and follow-up procedures. This consistency has resulted in improved accuracy of attendance data, more predictable responses for students and families, and a noticeable reduction in late arrivals during morning transitions.</w:t>
              <w:br/>
              <w:br/>
              <w:t>Significant work has also occurred in strengthening the wellbeing MTSS framework. Professional learning sessions led by the school's Mental Health in Primary Schools (MHIPS) Coordinator have built staff capacity to identify students who may be at risk of disengagement and to understand the range of supports available across Tier 1 (whole-school), Tier 2 (targeted group), and Tier 3 (individualised) interventions. These sessions have increased staff confidence in recognising early warning signs, implementing appropriate supports, and accessing specialist assistance when required.</w:t>
              <w:br/>
              <w:br/>
              <w:t>As part of this work, the school is currently developing clear referral pathways and support links aligned to each tier of the MTSS framework. This work will provide staff with greater clarity regarding their roles and responsibilities, the available supports at each level, and the appropriate referral processes for students requiring additional assistance. The development of these pathways is supporting a more systematic and coordinated approach to student wellbeing and engagement.</w:t>
              <w:br/>
              <w:br/>
              <w:t>Evidence indicates that early intervention responses have increased, with wellbeing staff and classroom teachers engaging in more timely communication and collaborative problem-solving with families. Attendance data is increasingly being used to identify emerging concerns and inform support planning. As a result, students experiencing attendance difficulties are being identified earlier and connected to appropriate supports more effectively.</w:t>
              <w:br/>
              <w:br/>
              <w:t>Overall, the school is on schedule to achieve the intended outcomes of this Key Improvement Strategy. Attendance and punctuality practices are becoming increasingly embedded across the school, family engagement has strengthened, and staff capacity to utilise the MTSS framework has grown significantly. These developments are contributing to improved student connectedness, engagement, wellbeing, and attendance outcomes.</w:t>
            </w:r>
          </w:p>
        </w:tc>
      </w:tr>
      <w:tr w:rsidTr="00400BA1">
        <w:tblPrEx>
          <w:tblW w:w="15021" w:type="dxa"/>
          <w:tblCellMar>
            <w:top w:w="115" w:type="dxa"/>
            <w:left w:w="115" w:type="dxa"/>
            <w:bottom w:w="115" w:type="dxa"/>
            <w:right w:w="115" w:type="dxa"/>
          </w:tblCellMar>
          <w:tblLook w:val="04A0"/>
        </w:tblPrEx>
        <w:trPr>
          <w:trHeight w:val="264"/>
        </w:trPr>
        <w:tc>
          <w:tcPr>
            <w:tcW w:w="9918" w:type="dxa"/>
            <w:gridSpan w:val="2"/>
            <w:shd w:val="clear" w:color="auto" w:fill="D9D9D9" w:themeFill="background1" w:themeFillShade="D9"/>
          </w:tcPr>
          <w:p w:rsidR="00F0634E" w:rsidRPr="002F40EA" w:rsidP="00FA4D4A">
            <w:pPr>
              <w:pStyle w:val="Heading3"/>
              <w:spacing w:before="0" w:after="0"/>
              <w:rPr>
                <w:szCs w:val="24"/>
                <w:lang w:val="en-AU"/>
              </w:rPr>
            </w:pPr>
            <w:r>
              <w:rPr>
                <w:szCs w:val="24"/>
                <w:lang w:val="en-AU"/>
              </w:rPr>
              <w:t>Tasks</w:t>
            </w:r>
          </w:p>
        </w:tc>
        <w:tc>
          <w:tcPr>
            <w:tcW w:w="5103" w:type="dxa"/>
            <w:shd w:val="clear" w:color="auto" w:fill="D9D9D9" w:themeFill="background1" w:themeFillShade="D9"/>
          </w:tcPr>
          <w:p w:rsidR="00F0634E" w:rsidRPr="002F40EA" w:rsidP="00FA4D4A">
            <w:pPr>
              <w:pStyle w:val="Heading3"/>
              <w:spacing w:before="0" w:after="0"/>
              <w:rPr>
                <w:szCs w:val="24"/>
                <w:lang w:val="en-AU"/>
              </w:rPr>
            </w:pPr>
            <w:r w:rsidRPr="002F40EA">
              <w:rPr>
                <w:szCs w:val="24"/>
                <w:lang w:val="en-AU"/>
              </w:rPr>
              <w:t>People responsible</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Strengthen regular communication with families in relation to attendance and school expectations:</w:t>
              <w:br/>
              <w:t>- newsletter features</w:t>
              <w:br/>
              <w:t>- Compass posts</w:t>
              <w:br/>
              <w:t>- Assemblies awards</w:t>
              <w:br/>
              <w:t xml:space="preserve">- Focus on communicating the 5-week cycle </w:t>
              <w:br/>
              <w:t>- School Council discussions and monthly reports</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Administration team</w:t>
            </w:r>
          </w:p>
          <w:p>
            <w:r>
              <w:rPr>
                <w:rFonts w:ascii="Wingdings" w:eastAsia="Wingdings" w:hAnsi="Wingdings" w:cs="Wingdings"/>
                <w:color w:val="008000"/>
                <w:sz w:val="24"/>
              </w:rPr>
              <w:sym w:font="Wingdings" w:char="F0FE"/>
            </w:r>
            <w:r>
              <w:rPr>
                <w:rFonts w:ascii="Arial" w:eastAsia="Arial" w:hAnsi="Arial" w:cs="Arial"/>
                <w:color w:val="000000"/>
                <w:sz w:val="22"/>
              </w:rPr>
              <w:t xml:space="preserve"> Assistant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Leadership team</w:t>
            </w:r>
          </w:p>
          <w:p>
            <w:r>
              <w:rPr>
                <w:rFonts w:ascii="Wingdings" w:eastAsia="Wingdings" w:hAnsi="Wingdings" w:cs="Wingdings"/>
                <w:color w:val="008000"/>
                <w:sz w:val="24"/>
              </w:rPr>
              <w:sym w:font="Wingdings" w:char="F0FE"/>
            </w:r>
            <w:r>
              <w:rPr>
                <w:rFonts w:ascii="Arial" w:eastAsia="Arial" w:hAnsi="Arial" w:cs="Arial"/>
                <w:color w:val="000000"/>
                <w:sz w:val="22"/>
              </w:rPr>
              <w:t xml:space="preserve">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Teacher(s)</w:t>
            </w:r>
          </w:p>
          <w:p>
            <w:r>
              <w:rPr>
                <w:rFonts w:ascii="Wingdings" w:eastAsia="Wingdings" w:hAnsi="Wingdings" w:cs="Wingdings"/>
                <w:color w:val="008000"/>
                <w:sz w:val="24"/>
              </w:rPr>
              <w:sym w:font="Wingdings" w:char="F0FE"/>
            </w:r>
            <w:r>
              <w:rPr>
                <w:rFonts w:ascii="Arial" w:eastAsia="Arial" w:hAnsi="Arial" w:cs="Arial"/>
                <w:color w:val="000000"/>
                <w:sz w:val="22"/>
              </w:rPr>
              <w:t xml:space="preserve"> Wellbeing team </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Empower students through regular feedback around attendance:</w:t>
              <w:br/>
              <w:br/>
              <w:t>Class motivational discussions during the daily morning routine set up, referencing to high attendance and the most improved attendance rates, for individuals and collectively (for class recognition as well)</w:t>
              <w:br/>
              <w:br/>
              <w:t>Reference to individual and collective rewards e.g., special free lunch orders and class fun period / games session.</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Administration team</w:t>
            </w:r>
          </w:p>
          <w:p>
            <w:r>
              <w:rPr>
                <w:rFonts w:ascii="Wingdings" w:eastAsia="Wingdings" w:hAnsi="Wingdings" w:cs="Wingdings"/>
                <w:color w:val="008000"/>
                <w:sz w:val="24"/>
              </w:rPr>
              <w:sym w:font="Wingdings" w:char="F0FE"/>
            </w:r>
            <w:r>
              <w:rPr>
                <w:rFonts w:ascii="Arial" w:eastAsia="Arial" w:hAnsi="Arial" w:cs="Arial"/>
                <w:color w:val="000000"/>
                <w:sz w:val="22"/>
              </w:rPr>
              <w:t xml:space="preserve"> Assistant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Education support</w:t>
            </w:r>
          </w:p>
          <w:p>
            <w:r>
              <w:rPr>
                <w:rFonts w:ascii="Wingdings" w:eastAsia="Wingdings" w:hAnsi="Wingdings" w:cs="Wingdings"/>
                <w:color w:val="008000"/>
                <w:sz w:val="24"/>
              </w:rPr>
              <w:sym w:font="Wingdings" w:char="F0FE"/>
            </w:r>
            <w:r>
              <w:rPr>
                <w:rFonts w:ascii="Arial" w:eastAsia="Arial" w:hAnsi="Arial" w:cs="Arial"/>
                <w:color w:val="000000"/>
                <w:sz w:val="22"/>
              </w:rPr>
              <w:t xml:space="preserve"> Leadership team</w:t>
            </w:r>
          </w:p>
          <w:p>
            <w:r>
              <w:rPr>
                <w:rFonts w:ascii="Wingdings" w:eastAsia="Wingdings" w:hAnsi="Wingdings" w:cs="Wingdings"/>
                <w:color w:val="008000"/>
                <w:sz w:val="24"/>
              </w:rPr>
              <w:sym w:font="Wingdings" w:char="F0FE"/>
            </w:r>
            <w:r>
              <w:rPr>
                <w:rFonts w:ascii="Arial" w:eastAsia="Arial" w:hAnsi="Arial" w:cs="Arial"/>
                <w:color w:val="000000"/>
                <w:sz w:val="22"/>
              </w:rPr>
              <w:t xml:space="preserve">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Teacher(s)</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Implement a consistent, schoolwide attendance and punctuality response system linked to MTSS</w:t>
              <w:br/>
              <w:br/>
              <w:t xml:space="preserve">Parents were contacted after two consecuitive absent days where parent entries were not dded to Compass by parents. </w:t>
              <w:br/>
              <w:br/>
              <w:t>Leadership team contacted parents when teachers were unsuccessful with communicating with parents after a two-day unexplained student absence.</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Assistant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Principal</w:t>
            </w:r>
          </w:p>
        </w:tc>
      </w:tr>
      <w:tr w:rsidTr="00F0634E">
        <w:tblPrEx>
          <w:tblW w:w="15021" w:type="dxa"/>
          <w:tblCellMar>
            <w:top w:w="115" w:type="dxa"/>
            <w:left w:w="115" w:type="dxa"/>
            <w:bottom w:w="115" w:type="dxa"/>
            <w:right w:w="115" w:type="dxa"/>
          </w:tblCellMar>
          <w:tblLook w:val="04A0"/>
        </w:tblPrEx>
        <w:trPr>
          <w:trHeight w:val="20"/>
        </w:trPr>
        <w:tc>
          <w:tcPr>
            <w:tcW w:w="9918" w:type="dxa"/>
            <w:gridSpan w:val="2"/>
            <w:noWrap w:val="0"/>
          </w:tcPr>
          <w:p w:rsidR="00F0634E" w:rsidRPr="002F40EA" w:rsidP="00AF3BC2">
            <w:pPr>
              <w:pStyle w:val="ESBodyText"/>
              <w:spacing w:after="0"/>
              <w:rPr>
                <w:sz w:val="20"/>
                <w:szCs w:val="24"/>
                <w:lang w:val="en-AU"/>
              </w:rPr>
            </w:pPr>
            <w:r>
              <w:rPr>
                <w:rFonts w:ascii="Arial" w:eastAsia="Arial" w:hAnsi="Arial" w:cs="Arial"/>
                <w:sz w:val="22"/>
              </w:rPr>
              <w:t>Establish school wide and classroom level agreed practice for monitoring attendance</w:t>
              <w:br/>
              <w:br/>
              <w:t xml:space="preserve">Supported by the PLC cycle teachers cocreated an agreed approach in class that was consistent across the school. </w:t>
              <w:br/>
              <w:br/>
              <w:t xml:space="preserve">At 9.10am and 12.30pm roles were checked. </w:t>
            </w:r>
          </w:p>
        </w:tc>
        <w:tc>
          <w:tcPr>
            <w:tcW w:w="5103" w:type="dxa"/>
          </w:tcPr>
          <w:p w:rsidR="00F0634E" w:rsidRPr="002F40EA" w:rsidP="00AF3BC2">
            <w:pPr>
              <w:pStyle w:val="ESBodyText"/>
              <w:spacing w:after="0"/>
              <w:rPr>
                <w:sz w:val="20"/>
                <w:szCs w:val="24"/>
                <w:lang w:val="en-AU"/>
              </w:rPr>
            </w:pPr>
            <w:r>
              <w:rPr>
                <w:rFonts w:ascii="Wingdings" w:eastAsia="Wingdings" w:hAnsi="Wingdings" w:cs="Wingdings"/>
                <w:color w:val="008000"/>
                <w:sz w:val="24"/>
              </w:rPr>
              <w:sym w:font="Wingdings" w:char="F0FE"/>
            </w:r>
            <w:r>
              <w:rPr>
                <w:rFonts w:ascii="Arial" w:eastAsia="Arial" w:hAnsi="Arial" w:cs="Arial"/>
                <w:color w:val="000000"/>
                <w:sz w:val="22"/>
              </w:rPr>
              <w:t xml:space="preserve"> Assistant principal</w:t>
            </w:r>
          </w:p>
          <w:p>
            <w:r>
              <w:rPr>
                <w:rFonts w:ascii="Wingdings" w:eastAsia="Wingdings" w:hAnsi="Wingdings" w:cs="Wingdings"/>
                <w:color w:val="008000"/>
                <w:sz w:val="24"/>
              </w:rPr>
              <w:sym w:font="Wingdings" w:char="F0FE"/>
            </w:r>
            <w:r>
              <w:rPr>
                <w:rFonts w:ascii="Arial" w:eastAsia="Arial" w:hAnsi="Arial" w:cs="Arial"/>
                <w:color w:val="000000"/>
                <w:sz w:val="22"/>
              </w:rPr>
              <w:t xml:space="preserve"> Leadership team</w:t>
            </w:r>
          </w:p>
          <w:p>
            <w:r>
              <w:rPr>
                <w:rFonts w:ascii="Wingdings" w:eastAsia="Wingdings" w:hAnsi="Wingdings" w:cs="Wingdings"/>
                <w:color w:val="008000"/>
                <w:sz w:val="24"/>
              </w:rPr>
              <w:sym w:font="Wingdings" w:char="F0FE"/>
            </w:r>
            <w:r>
              <w:rPr>
                <w:rFonts w:ascii="Arial" w:eastAsia="Arial" w:hAnsi="Arial" w:cs="Arial"/>
                <w:color w:val="000000"/>
                <w:sz w:val="22"/>
              </w:rPr>
              <w:t xml:space="preserve"> Principal</w:t>
            </w:r>
          </w:p>
        </w:tc>
      </w:tr>
    </w:tbl>
    <w:p w:rsidR="006307C3" w:rsidRPr="002F40EA" w:rsidP="006C7A56">
      <w:pPr>
        <w:pStyle w:val="ESBodyText"/>
        <w:rPr>
          <w:lang w:val="en-AU"/>
        </w:rPr>
      </w:pPr>
    </w:p>
    <w:p/>
    <w:p/>
    <w:sectPr w:rsidSect="00E36291">
      <w:headerReference w:type="even" r:id="rId15"/>
      <w:headerReference w:type="default" r:id="rId16"/>
      <w:footerReference w:type="default" r:id="rId17"/>
      <w:headerReference w:type="first" r:id="rId18"/>
      <w:pgSz w:w="16838" w:h="11906" w:orient="landscape" w:code="9"/>
      <w:pgMar w:top="1304" w:right="2036" w:bottom="1240" w:left="810" w:header="624" w:footer="532" w:gutter="0"/>
      <w:pgNumType w:start="2"/>
      <w:cols w:space="3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995" w:rsidP="002953E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3995" w:rsidP="007B2B2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995" w:rsidRPr="003E29B5" w:rsidP="008766A4">
    <w:r>
      <w:rPr>
        <w:noProof/>
      </w:rPr>
      <w:drawing>
        <wp:anchor distT="0" distB="0" distL="114300" distR="114300" simplePos="0" relativeHeight="251669504" behindDoc="1" locked="0" layoutInCell="1" allowOverlap="1">
          <wp:simplePos x="0" y="0"/>
          <wp:positionH relativeFrom="column">
            <wp:posOffset>-140335</wp:posOffset>
          </wp:positionH>
          <wp:positionV relativeFrom="paragraph">
            <wp:posOffset>86360</wp:posOffset>
          </wp:positionV>
          <wp:extent cx="1980000" cy="590400"/>
          <wp:effectExtent l="0" t="0" r="1270" b="635"/>
          <wp:wrapNone/>
          <wp:docPr id="14" name="Picture 14" descr="Education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ducation State logo"/>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980000" cy="590400"/>
                  </a:xfrm>
                  <a:prstGeom prst="rect">
                    <a:avLst/>
                  </a:prstGeom>
                  <a:noFill/>
                  <a:ln>
                    <a:noFill/>
                  </a:ln>
                </pic:spPr>
              </pic:pic>
            </a:graphicData>
          </a:graphic>
        </wp:anchor>
      </w:drawing>
    </w:r>
    <w:r w:rsidRPr="003E29B5" w:rsidR="00B329B8">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995" w:rsidRPr="00006534" w:rsidP="0091722C">
    <w:pPr>
      <w:pStyle w:val="ESSubheading1"/>
      <w:ind w:firstLine="567"/>
    </w:pPr>
    <w:r w:rsidRPr="0091722C">
      <w:rPr>
        <w:noProof/>
        <w:sz w:val="15"/>
        <w:szCs w:val="15"/>
      </w:rPr>
      <w:t>Le Page Primary School (5422) - 2026 - AIP</w:t>
    </w:r>
    <w:r w:rsidRPr="000C104E" w:rsidR="000C104E">
      <w:rPr>
        <w:noProof/>
        <w:lang w:val="en-AU" w:eastAsia="en-AU"/>
      </w:rPr>
      <w:drawing>
        <wp:anchor distT="0" distB="0" distL="114300" distR="114300" simplePos="0" relativeHeight="251668480" behindDoc="1" locked="0" layoutInCell="1" allowOverlap="1">
          <wp:simplePos x="0" y="0"/>
          <wp:positionH relativeFrom="column">
            <wp:posOffset>11844304</wp:posOffset>
          </wp:positionH>
          <wp:positionV relativeFrom="paragraph">
            <wp:posOffset>-47625</wp:posOffset>
          </wp:positionV>
          <wp:extent cx="1981200" cy="7048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208384299"/>
      <w:docPartObj>
        <w:docPartGallery w:val="Page Numbers (Bottom of Page)"/>
        <w:docPartUnique/>
      </w:docPartObj>
    </w:sdtPr>
    <w:sdtEndPr>
      <w:rPr>
        <w:noProof/>
      </w:rPr>
    </w:sdtEndPr>
    <w:sdtContent>
      <w:p w:rsidR="00843995" w:rsidRPr="007B2B29"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sidR="00103446">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DD4">
    <w:r>
      <w:rPr>
        <w:noProof/>
        <w:lang w:val="en-AU" w:eastAsia="en-AU"/>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2286000"/>
              <wp:effectExtent l="0" t="1428750" r="0" b="1276350"/>
              <wp:wrapNone/>
              <wp:docPr id="4"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5901B0" w:rsidP="005901B0">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5901B0" w:rsidP="005901B0">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995">
    <w:pPr>
      <w:pStyle w:val="Header"/>
    </w:pPr>
    <w:r w:rsidRPr="000C104E">
      <w:rPr>
        <w:noProof/>
        <w:lang w:val="en-AU" w:eastAsia="en-AU"/>
      </w:rPr>
      <w:drawing>
        <wp:anchor distT="0" distB="0" distL="114300" distR="114300" simplePos="0" relativeHeight="251666432" behindDoc="1" locked="0" layoutInCell="1" allowOverlap="1">
          <wp:simplePos x="0" y="0"/>
          <wp:positionH relativeFrom="column">
            <wp:posOffset>7838942</wp:posOffset>
          </wp:positionH>
          <wp:positionV relativeFrom="paragraph">
            <wp:posOffset>-331546</wp:posOffset>
          </wp:positionV>
          <wp:extent cx="1991003" cy="74305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rsidR="00180DD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DD4">
    <w:r>
      <w:rPr>
        <w:noProof/>
        <w:lang w:val="en-AU" w:eastAsia="en-AU"/>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2286000"/>
              <wp:effectExtent l="0" t="1428750" r="0" b="1276350"/>
              <wp:wrapNone/>
              <wp:docPr id="3"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5901B0" w:rsidP="005901B0">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5901B0" w:rsidP="005901B0">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DD4">
    <w:r>
      <w:rPr>
        <w:noProof/>
        <w:lang w:val="en-AU" w:eastAsia="en-AU"/>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center</wp:align>
              </wp:positionV>
              <wp:extent cx="6350000" cy="2286000"/>
              <wp:effectExtent l="0" t="1428750" r="0" b="1276350"/>
              <wp:wrapNone/>
              <wp:docPr id="7"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205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5408"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995" w:rsidRPr="003E29B5" w:rsidP="008766A4">
    <w:r w:rsidRPr="000C104E">
      <w:rPr>
        <w:noProof/>
        <w:lang w:val="en-AU" w:eastAsia="en-AU"/>
      </w:rPr>
      <w:drawing>
        <wp:anchor distT="0" distB="0" distL="114300" distR="114300" simplePos="0" relativeHeight="251667456" behindDoc="1" locked="0" layoutInCell="1" allowOverlap="1">
          <wp:simplePos x="0" y="0"/>
          <wp:positionH relativeFrom="column">
            <wp:posOffset>11844068</wp:posOffset>
          </wp:positionH>
          <wp:positionV relativeFrom="paragraph">
            <wp:posOffset>-272367</wp:posOffset>
          </wp:positionV>
          <wp:extent cx="1991003" cy="74305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rsidR="00180DD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DD4">
    <w:r>
      <w:rPr>
        <w:noProof/>
        <w:lang w:val="en-AU" w:eastAsia="en-AU"/>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align>center</wp:align>
              </wp:positionV>
              <wp:extent cx="6350000" cy="2286000"/>
              <wp:effectExtent l="0" t="1428750" r="0" b="1276350"/>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3360"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nsid w:val="FFFFFF7C"/>
    <w:multiLevelType w:val="singleLevel"/>
    <w:tmpl w:val="C9844DB2"/>
    <w:lvl w:ilvl="0">
      <w:start w:val="1"/>
      <w:numFmt w:val="decimal"/>
      <w:lvlText w:val="%1."/>
      <w:lvlJc w:val="left"/>
      <w:pPr>
        <w:tabs>
          <w:tab w:val="num" w:pos="1492"/>
        </w:tabs>
        <w:ind w:left="1492" w:hanging="360"/>
      </w:pPr>
    </w:lvl>
  </w:abstractNum>
  <w:abstractNum w:abstractNumId="2">
    <w:nsid w:val="FFFFFF7D"/>
    <w:multiLevelType w:val="singleLevel"/>
    <w:tmpl w:val="AEDC9C9A"/>
    <w:lvl w:ilvl="0">
      <w:start w:val="1"/>
      <w:numFmt w:val="decimal"/>
      <w:lvlText w:val="%1."/>
      <w:lvlJc w:val="left"/>
      <w:pPr>
        <w:tabs>
          <w:tab w:val="num" w:pos="1209"/>
        </w:tabs>
        <w:ind w:left="1209" w:hanging="360"/>
      </w:pPr>
    </w:lvl>
  </w:abstractNum>
  <w:abstractNum w:abstractNumId="3">
    <w:nsid w:val="FFFFFF7E"/>
    <w:multiLevelType w:val="singleLevel"/>
    <w:tmpl w:val="311ED480"/>
    <w:lvl w:ilvl="0">
      <w:start w:val="1"/>
      <w:numFmt w:val="decimal"/>
      <w:lvlText w:val="%1."/>
      <w:lvlJc w:val="left"/>
      <w:pPr>
        <w:tabs>
          <w:tab w:val="num" w:pos="926"/>
        </w:tabs>
        <w:ind w:left="926" w:hanging="360"/>
      </w:pPr>
    </w:lvl>
  </w:abstractNum>
  <w:abstractNum w:abstractNumId="4">
    <w:nsid w:val="FFFFFF7F"/>
    <w:multiLevelType w:val="singleLevel"/>
    <w:tmpl w:val="821843EA"/>
    <w:lvl w:ilvl="0">
      <w:start w:val="1"/>
      <w:numFmt w:val="decimal"/>
      <w:lvlText w:val="%1."/>
      <w:lvlJc w:val="left"/>
      <w:pPr>
        <w:tabs>
          <w:tab w:val="num" w:pos="643"/>
        </w:tabs>
        <w:ind w:left="643" w:hanging="360"/>
      </w:pPr>
    </w:lvl>
  </w:abstractNum>
  <w:abstractNum w:abstractNumId="5">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936ABC90"/>
    <w:lvl w:ilvl="0">
      <w:start w:val="1"/>
      <w:numFmt w:val="decimal"/>
      <w:lvlText w:val="%1."/>
      <w:lvlJc w:val="left"/>
      <w:pPr>
        <w:tabs>
          <w:tab w:val="num" w:pos="360"/>
        </w:tabs>
        <w:ind w:left="360" w:hanging="360"/>
      </w:pPr>
    </w:lvl>
  </w:abstractNum>
  <w:abstractNum w:abstractNumId="1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3">
    <w:nsid w:val="3960527E"/>
    <w:multiLevelType w:val="hybridMultilevel"/>
    <w:tmpl w:val="97505B86"/>
    <w:lvl w:ilvl="0">
      <w:start w:val="1"/>
      <w:numFmt w:val="bullet"/>
      <w:pStyle w:val="ESBulletsinTable"/>
      <w:lvlText w:val=""/>
      <w:lvlJc w:val="left"/>
      <w:pPr>
        <w:ind w:left="360" w:hanging="360"/>
      </w:pPr>
      <w:rPr>
        <w:rFonts w:ascii="Symbol" w:hAnsi="Symbol" w:hint="default"/>
        <w:color w:val="AF272F"/>
      </w:rPr>
    </w:lvl>
    <w:lvl w:ilvl="1">
      <w:start w:val="1"/>
      <w:numFmt w:val="bullet"/>
      <w:pStyle w:val="ESBulletsinTableLevel2"/>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6">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4"/>
  </w:num>
  <w:num w:numId="15">
    <w:abstractNumId w:val="15"/>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autoFormatOverride/>
  <w:defaultTabStop w:val="720"/>
  <w:drawingGridHorizontalSpacing w:val="9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semiHidden/>
    <w:unhideWhenUsed/>
    <w:qFormat/>
    <w:locked/>
    <w:rsid w:val="003E4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hAnsi="Arial" w:eastAsiaTheme="majorEastAsia"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hAnsi="Arial" w:eastAsiaTheme="majorEastAsia"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hAnsi="Arial" w:eastAsiaTheme="majorEastAsia"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hAnsi="Arial" w:eastAsiaTheme="majorEastAsia"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hAnsi="Arial" w:eastAsiaTheme="majorEastAsia" w:cstheme="majorBidi"/>
      <w:b/>
      <w:caps/>
      <w:color w:val="AF272F"/>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uiPriority w:val="99"/>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3E4341"/>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semiHidden/>
    <w:unhideWhenUsed/>
    <w:locked/>
    <w:rsid w:val="00973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3.xml" /><Relationship Id="rId18" Type="http://schemas.openxmlformats.org/officeDocument/2006/relationships/header" Target="header6.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4.pn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5.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A66E8-BEDF-4CC9-A9D0-A0D341F9565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78D826A-78A9-4A6C-8034-99F2E8A12FB7}">
  <ds:schemaRefs>
    <ds:schemaRef ds:uri="http://schemas.microsoft.com/sharepoint/events"/>
  </ds:schemaRefs>
</ds:datastoreItem>
</file>

<file path=customXml/itemProps3.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901E2A-48B7-4A50-B243-C9C7FE40A11E}">
  <ds:schemaRefs>
    <ds:schemaRef ds:uri="http://schemas.openxmlformats.org/officeDocument/2006/bibliography"/>
  </ds:schemaRefs>
</ds:datastoreItem>
</file>

<file path=customXml/itemProps5.xml><?xml version="1.0" encoding="utf-8"?>
<ds:datastoreItem xmlns:ds="http://schemas.openxmlformats.org/officeDocument/2006/customXml" ds:itemID="{A11081E9-3CD3-4F5B-803C-61E34248A1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2270</TotalTime>
  <Pages>2</Pages>
  <Words>46</Words>
  <Characters>265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Reshma Karunakaran</cp:lastModifiedBy>
  <cp:revision>93</cp:revision>
  <dcterms:created xsi:type="dcterms:W3CDTF">2017-09-11T05:00:00Z</dcterms:created>
  <dcterms:modified xsi:type="dcterms:W3CDTF">2025-09-02T02:48:00Z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