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5.0.0 -->
  <w:body>
    <w:p w:rsidR="007166AE" w:rsidRPr="000D0919" w:rsidP="007166AE">
      <w:pPr>
        <w:ind w:left="540" w:right="1067"/>
        <w:rPr>
          <w:b/>
          <w:color w:val="AF272F"/>
          <w:sz w:val="36"/>
          <w:szCs w:val="44"/>
          <w:lang w:val="en-AU"/>
        </w:rPr>
      </w:pPr>
      <w:r w:rsidRPr="000D0919">
        <w:rPr>
          <w:b/>
          <w:color w:val="AF272F"/>
          <w:sz w:val="36"/>
          <w:szCs w:val="44"/>
          <w:lang w:val="en-AU"/>
        </w:rPr>
        <w:t xml:space="preserve">School Strategic Plan </w:t>
      </w:r>
      <w:r w:rsidRPr="000D0919">
        <w:rPr>
          <w:b/>
          <w:noProof/>
          <w:color w:val="AF272F"/>
          <w:sz w:val="36"/>
          <w:szCs w:val="44"/>
          <w:lang w:val="en-AU"/>
        </w:rPr>
        <w:t>2025-2029</w:t>
      </w:r>
    </w:p>
    <w:p w:rsidR="007166AE" w:rsidRPr="000D0919" w:rsidP="007166AE">
      <w:pPr>
        <w:pStyle w:val="ESIntroParagraph"/>
        <w:ind w:left="-567" w:right="1697" w:firstLine="1107"/>
        <w:rPr>
          <w:color w:val="595959" w:themeColor="text1" w:themeTint="A6"/>
          <w:lang w:val="en-AU"/>
        </w:rPr>
      </w:pPr>
      <w:r w:rsidRPr="000D0919">
        <w:rPr>
          <w:noProof/>
          <w:color w:val="595959" w:themeColor="text1" w:themeTint="A6"/>
          <w:lang w:val="en-AU"/>
        </w:rPr>
        <w:t>Le Page Primary School (5422)</w:t>
      </w:r>
    </w:p>
    <w:p w:rsidR="007166AE" w:rsidRPr="000D0919" w:rsidP="007166AE">
      <w:pPr>
        <w:pStyle w:val="ESIntroParagraph"/>
        <w:ind w:left="-567" w:right="4330"/>
        <w:rPr>
          <w:lang w:val="en-AU"/>
        </w:rPr>
      </w:pPr>
    </w:p>
    <w:p w:rsidR="007166AE" w:rsidRPr="000D0919" w:rsidP="007166AE">
      <w:pPr>
        <w:pStyle w:val="Heading1"/>
        <w:ind w:left="-567"/>
        <w:rPr>
          <w:lang w:val="en-AU"/>
        </w:rPr>
      </w:pPr>
    </w:p>
    <w:p w:rsidR="007166AE" w:rsidRPr="000D0919" w:rsidP="007166AE">
      <w:pPr>
        <w:pStyle w:val="ESHeading2"/>
        <w:rPr>
          <w:lang w:val="en-AU"/>
        </w:rPr>
      </w:pPr>
    </w:p>
    <w:p w:rsidR="007166AE" w:rsidRPr="000D0919" w:rsidP="007166AE">
      <w:pPr>
        <w:pStyle w:val="ESHeading2"/>
        <w:rPr>
          <w:lang w:val="en-AU"/>
        </w:rPr>
      </w:pPr>
    </w:p>
    <w:p w:rsidR="007166AE" w:rsidRPr="000D0919" w:rsidP="007166AE">
      <w:pPr>
        <w:pStyle w:val="ESHeading2"/>
        <w:rPr>
          <w:lang w:val="en-AU"/>
        </w:rPr>
      </w:pPr>
    </w:p>
    <w:p w:rsidR="007166AE" w:rsidRPr="000D0919" w:rsidP="007166AE">
      <w:pPr>
        <w:pStyle w:val="ESHeading2"/>
        <w:rPr>
          <w:lang w:val="en-AU"/>
        </w:rPr>
      </w:pPr>
    </w:p>
    <w:p w:rsidR="007166AE" w:rsidRPr="000D0919" w:rsidP="007166AE">
      <w:pPr>
        <w:pStyle w:val="ESHeading2"/>
        <w:rPr>
          <w:lang w:val="en-AU"/>
        </w:rPr>
      </w:pPr>
    </w:p>
    <w:p w:rsidR="007166AE" w:rsidRPr="000D0919" w:rsidP="007166AE">
      <w:pPr>
        <w:pStyle w:val="ESHeading2"/>
        <w:rPr>
          <w:lang w:val="en-AU"/>
        </w:rPr>
      </w:pPr>
    </w:p>
    <w:p w:rsidR="007166AE" w:rsidRPr="000D0919" w:rsidP="007166AE">
      <w:pPr>
        <w:pStyle w:val="ESHeading2"/>
        <w:jc w:val="center"/>
        <w:rPr>
          <w:lang w:val="en-AU"/>
        </w:rPr>
      </w:pPr>
      <w:r w:rsidRPr="000D0919">
        <w:rPr>
          <w:b w:val="0"/>
          <w:noProof/>
          <w:sz w:val="44"/>
          <w:szCs w:val="44"/>
          <w:lang w:val="en-AU"/>
        </w:rPr>
        <w:drawing>
          <wp:anchor simplePos="0" relativeHeight="251658240" behindDoc="1" locked="0" layoutInCell="1" allowOverlap="1">
            <wp:simplePos x="0" y="0"/>
            <wp:positionH relativeFrom="page">
              <wp:align>center</wp:align>
            </wp:positionH>
            <wp:positionV relativeFrom="paragraph">
              <wp:posOffset>0</wp:posOffset>
            </wp:positionV>
            <wp:extent cx="3810532" cy="1914792"/>
            <wp:wrapNone/>
            <wp:docPr id="100027" name=""/>
            <wp:cNvGraphicFramePr/>
            <a:graphic xmlns:a="http://schemas.openxmlformats.org/drawingml/2006/main">
              <a:graphicData uri="http://schemas.openxmlformats.org/drawingml/2006/picture">
                <pic:pic xmlns:pic="http://schemas.openxmlformats.org/drawingml/2006/picture">
                  <pic:nvPicPr>
                    <pic:cNvPr id="100027" name=""/>
                    <pic:cNvPicPr/>
                  </pic:nvPicPr>
                  <pic:blipFill>
                    <a:blip xmlns:r="http://schemas.openxmlformats.org/officeDocument/2006/relationships" r:embed="rId9"/>
                    <a:stretch>
                      <a:fillRect/>
                    </a:stretch>
                  </pic:blipFill>
                  <pic:spPr>
                    <a:xfrm>
                      <a:off x="0" y="0"/>
                      <a:ext cx="3810532" cy="1914792"/>
                    </a:xfrm>
                    <a:prstGeom prst="rect">
                      <a:avLst/>
                    </a:prstGeom>
                  </pic:spPr>
                </pic:pic>
              </a:graphicData>
            </a:graphic>
          </wp:anchor>
        </w:drawing>
      </w:r>
    </w:p>
    <w:p w:rsidR="007166AE" w:rsidRPr="000D0919" w:rsidP="007166AE">
      <w:pPr>
        <w:pStyle w:val="ESBodyText"/>
        <w:rPr>
          <w:lang w:val="en-AU"/>
        </w:rPr>
        <w:sectPr w:rsidSect="008E169D">
          <w:headerReference w:type="even" r:id="rId10"/>
          <w:headerReference w:type="default" r:id="rId11"/>
          <w:footerReference w:type="even" r:id="rId12"/>
          <w:footerReference w:type="default" r:id="rId13"/>
          <w:headerReference w:type="first" r:id="rId14"/>
          <w:pgSz w:w="11906" w:h="16838" w:code="9"/>
          <w:pgMar w:top="1005" w:right="737" w:bottom="1304" w:left="562" w:header="624" w:footer="1134" w:gutter="0"/>
          <w:cols w:space="397"/>
          <w:docGrid w:linePitch="360"/>
        </w:sectPr>
      </w:pPr>
      <w:r w:rsidRPr="000D0919">
        <w:rPr>
          <w:rFonts w:ascii="Times New Roman" w:hAnsi="Times New Roman" w:cs="Times New Roman"/>
          <w:noProof/>
          <w:sz w:val="24"/>
          <w:szCs w:val="24"/>
          <w:lang w:val="en-AU" w:eastAsia="en-AU"/>
        </w:rPr>
        <mc:AlternateContent>
          <mc:Choice Requires="wps">
            <w:drawing>
              <wp:anchor distT="45720" distB="45720" distL="114300" distR="114300" simplePos="0" relativeHeight="251660288" behindDoc="1" locked="1" layoutInCell="1" allowOverlap="1">
                <wp:simplePos x="0" y="0"/>
                <wp:positionH relativeFrom="margin">
                  <wp:posOffset>100330</wp:posOffset>
                </wp:positionH>
                <wp:positionV relativeFrom="bottomMargin">
                  <wp:posOffset>-1260475</wp:posOffset>
                </wp:positionV>
                <wp:extent cx="9773920" cy="1134110"/>
                <wp:effectExtent l="0" t="0" r="0" b="8890"/>
                <wp:wrapNone/>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773920" cy="1134110"/>
                        </a:xfrm>
                        <a:prstGeom prst="rect">
                          <a:avLst/>
                        </a:prstGeom>
                        <a:solidFill>
                          <a:srgbClr val="FFFFFF"/>
                        </a:solidFill>
                        <a:ln w="9525">
                          <a:noFill/>
                          <a:miter lim="800000"/>
                          <a:headEnd/>
                          <a:tailEnd/>
                        </a:ln>
                      </wps:spPr>
                      <wps:txbx>
                        <w:txbxContent>
                          <w:p w:rsidR="007166AE" w:rsidP="007166AE">
                            <w:pPr>
                              <w:pStyle w:val="ESBodyText"/>
                            </w:pPr>
                            <w:r>
                              <w:rPr>
                                <w:noProof/>
                              </w:rPr>
                              <w:t>Submitted for review by George Danson (School Principal) on 15 November, 2025 at 05:42 PM</w:t>
                              <w:br/>
                              <w:t>Endorsed by Stuart Edwards (Senior Education Improvement Leader) on 17 November, 2025 at 04:02 PM</w:t>
                              <w:br/>
                              <w:t>Endorsed by Belinda Griffiths (School Council President) on 18 November, 2025 at 08:27 PM</w:t>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89.3pt;margin-left:7.9pt;margin-top:-99.25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7166AE" w:rsidP="007166AE">
                      <w:pPr>
                        <w:pStyle w:val="ESBodyText"/>
                      </w:pPr>
                      <w:r>
                        <w:rPr>
                          <w:noProof/>
                        </w:rPr>
                        <w:t>Submitted for review by George Danson (School Principal) on 15 November, 2025 at 05:42 PM</w:t>
                        <w:br/>
                        <w:t>Endorsed by Stuart Edwards (Senior Education Improvement Leader) on 17 November, 2025 at 04:02 PM</w:t>
                        <w:br/>
                        <w:t>Endorsed by Belinda Griffiths (School Council President) on 18 November, 2025 at 08:27 PM</w:t>
                        <w:br/>
                      </w:r>
                    </w:p>
                  </w:txbxContent>
                </v:textbox>
                <w10:wrap anchorx="margin"/>
                <w10:anchorlock/>
              </v:shape>
            </w:pict>
          </mc:Fallback>
        </mc:AlternateContent>
      </w:r>
    </w:p>
    <w:p w:rsidR="007166AE" w:rsidRPr="000D0919" w:rsidP="007166AE">
      <w:pPr>
        <w:ind w:left="-540" w:right="-632"/>
        <w:rPr>
          <w:b/>
          <w:color w:val="AF272F"/>
          <w:sz w:val="36"/>
          <w:szCs w:val="44"/>
          <w:lang w:val="en-AU"/>
        </w:rPr>
      </w:pPr>
      <w:r w:rsidRPr="000D0919">
        <w:rPr>
          <w:b/>
          <w:color w:val="AF272F"/>
          <w:sz w:val="36"/>
          <w:szCs w:val="44"/>
          <w:lang w:val="en-AU"/>
        </w:rPr>
        <w:t xml:space="preserve">School Strategic Plan - </w:t>
      </w:r>
      <w:r w:rsidRPr="000D0919">
        <w:rPr>
          <w:b/>
          <w:noProof/>
          <w:color w:val="AF272F"/>
          <w:sz w:val="36"/>
          <w:szCs w:val="44"/>
          <w:lang w:val="en-AU"/>
        </w:rPr>
        <w:t>2025-2029</w:t>
      </w:r>
    </w:p>
    <w:p w:rsidR="007166AE" w:rsidRPr="000D0919" w:rsidP="007166AE">
      <w:pPr>
        <w:pStyle w:val="ESIntroParagraph"/>
        <w:spacing w:after="120"/>
        <w:ind w:left="-539" w:right="-635" w:firstLine="27"/>
        <w:rPr>
          <w:color w:val="595959" w:themeColor="text1" w:themeTint="A6"/>
          <w:lang w:val="en-AU"/>
        </w:rPr>
      </w:pPr>
      <w:r w:rsidRPr="000D0919">
        <w:rPr>
          <w:noProof/>
          <w:color w:val="595959" w:themeColor="text1" w:themeTint="A6"/>
          <w:lang w:val="en-AU"/>
        </w:rPr>
        <w:t>Le Page Primary School (5422)</w:t>
      </w:r>
    </w:p>
    <w:p w:rsidR="007166AE" w:rsidRPr="000D0919" w:rsidP="007166AE">
      <w:pPr>
        <w:pStyle w:val="ESIntroParagraph"/>
        <w:ind w:right="1708"/>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tblPr>
      <w:tblGrid>
        <w:gridCol w:w="3119"/>
        <w:gridCol w:w="11996"/>
      </w:tblGrid>
      <w:tr w:rsidTr="009B10A5">
        <w:tblPrEx>
          <w:tblW w:w="15115" w:type="dxa"/>
          <w:tblInd w:w="-450" w:type="dxa"/>
          <w:tblCellMar>
            <w:top w:w="115" w:type="dxa"/>
            <w:left w:w="115" w:type="dxa"/>
            <w:bottom w:w="115" w:type="dxa"/>
            <w:right w:w="115" w:type="dxa"/>
          </w:tblCellMar>
          <w:tblLook w:val="04A0"/>
        </w:tblPrEx>
        <w:trPr>
          <w:trHeight w:val="110"/>
        </w:trPr>
        <w:tc>
          <w:tcPr>
            <w:tcW w:w="3119" w:type="dxa"/>
            <w:shd w:val="clear" w:color="auto" w:fill="D9D9D9" w:themeFill="background1" w:themeFillShade="D9"/>
          </w:tcPr>
          <w:p w:rsidR="007166AE" w:rsidRPr="000D0919" w:rsidP="009B10A5">
            <w:pPr>
              <w:pStyle w:val="Heading3"/>
              <w:spacing w:before="0" w:after="0"/>
              <w:rPr>
                <w:sz w:val="22"/>
                <w:szCs w:val="22"/>
                <w:lang w:val="en-AU"/>
              </w:rPr>
            </w:pPr>
            <w:r w:rsidRPr="000D0919">
              <w:rPr>
                <w:sz w:val="22"/>
                <w:szCs w:val="22"/>
                <w:lang w:val="en-AU"/>
              </w:rPr>
              <w:t>School vision</w:t>
            </w:r>
          </w:p>
        </w:tc>
        <w:tc>
          <w:tcPr>
            <w:tcW w:w="11996" w:type="dxa"/>
            <w:shd w:val="clear" w:color="auto" w:fill="FFFFFF" w:themeFill="background1"/>
            <w:noWrap w:val="0"/>
          </w:tcPr>
          <w:p w:rsidR="007166AE" w:rsidRPr="000D0919" w:rsidP="009B10A5">
            <w:pPr>
              <w:pStyle w:val="ESBodyText"/>
              <w:spacing w:after="0"/>
              <w:rPr>
                <w:color w:val="FFFFFF" w:themeColor="background1"/>
                <w:sz w:val="20"/>
                <w:szCs w:val="24"/>
                <w:lang w:val="en-AU"/>
              </w:rPr>
            </w:pPr>
            <w:r>
              <w:rPr>
                <w:rFonts w:ascii="Arial" w:eastAsia="Arial" w:hAnsi="Arial" w:cs="Arial"/>
                <w:sz w:val="22"/>
              </w:rPr>
              <w:t>There is a prosperous path for every child. Each journey is theirs to lead. There is a place in which every child can shine.</w:t>
              <w:br/>
              <w:t>So let's identify the talent, develop the confidence, and create the leader.</w:t>
            </w:r>
          </w:p>
        </w:tc>
      </w:tr>
      <w:tr w:rsidTr="009B10A5">
        <w:tblPrEx>
          <w:tblW w:w="15115" w:type="dxa"/>
          <w:tblInd w:w="-450" w:type="dxa"/>
          <w:tblCellMar>
            <w:top w:w="115" w:type="dxa"/>
            <w:left w:w="115" w:type="dxa"/>
            <w:bottom w:w="115" w:type="dxa"/>
            <w:right w:w="115" w:type="dxa"/>
          </w:tblCellMar>
          <w:tblLook w:val="04A0"/>
        </w:tblPrEx>
        <w:trPr>
          <w:trHeight w:val="15"/>
        </w:trPr>
        <w:tc>
          <w:tcPr>
            <w:tcW w:w="3119" w:type="dxa"/>
            <w:shd w:val="clear" w:color="auto" w:fill="D9D9D9" w:themeFill="background1" w:themeFillShade="D9"/>
          </w:tcPr>
          <w:p w:rsidR="007166AE" w:rsidRPr="000D0919" w:rsidP="009B10A5">
            <w:pPr>
              <w:pStyle w:val="Heading3"/>
              <w:spacing w:before="0" w:after="0"/>
              <w:rPr>
                <w:sz w:val="22"/>
                <w:szCs w:val="22"/>
                <w:lang w:val="en-AU"/>
              </w:rPr>
            </w:pPr>
            <w:r w:rsidRPr="000D0919">
              <w:rPr>
                <w:sz w:val="22"/>
                <w:szCs w:val="22"/>
                <w:lang w:val="en-AU"/>
              </w:rPr>
              <w:t>School values</w:t>
            </w:r>
          </w:p>
        </w:tc>
        <w:tc>
          <w:tcPr>
            <w:tcW w:w="11996" w:type="dxa"/>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At Le Page Primary School we value:</w:t>
              <w:br/>
              <w:br/>
              <w:t>1. Gratitude - Being thankful for what we have.</w:t>
              <w:br/>
              <w:br/>
              <w:t>2. Empathy - Practicing random acts of kindness.</w:t>
              <w:br/>
              <w:br/>
              <w:t>3. Mindfulness - Keeping in the present moment.</w:t>
              <w:br/>
              <w:br/>
              <w:br/>
              <w:t>Our mindset is framed by this question: What do we live for, if it is not to make life less difficult for each other?</w:t>
              <w:br/>
              <w:br/>
              <w:br/>
              <w:t>The Habits we practice, to develop our character, and to work positively with others (Stephen Covey's 7 Habits of Highly Effective People):</w:t>
              <w:br/>
              <w:br/>
              <w:t>1. Be Proactive - I’m in charge of myself</w:t>
              <w:br/>
              <w:br/>
              <w:t>2. Begin with the End in Mind - have a plan</w:t>
              <w:br/>
              <w:br/>
              <w:t>3. Put First Things First - work first then play</w:t>
              <w:br/>
              <w:br/>
              <w:t>4. Think Win-Win - everyone can win</w:t>
              <w:br/>
              <w:br/>
              <w:t>5. Seek First to Understand Then to Be Understood - listen before you talk</w:t>
              <w:br/>
              <w:br/>
              <w:t>6. Synergise - together is better</w:t>
              <w:br/>
              <w:br/>
              <w:t>7. Sharpen the Saw - balance feels best</w:t>
            </w:r>
          </w:p>
        </w:tc>
      </w:tr>
      <w:tr w:rsidTr="009B10A5">
        <w:tblPrEx>
          <w:tblW w:w="15115" w:type="dxa"/>
          <w:tblInd w:w="-450" w:type="dxa"/>
          <w:tblCellMar>
            <w:top w:w="115" w:type="dxa"/>
            <w:left w:w="115" w:type="dxa"/>
            <w:bottom w:w="115" w:type="dxa"/>
            <w:right w:w="115" w:type="dxa"/>
          </w:tblCellMar>
          <w:tblLook w:val="04A0"/>
        </w:tblPrEx>
        <w:trPr>
          <w:trHeight w:val="15"/>
        </w:trPr>
        <w:tc>
          <w:tcPr>
            <w:tcW w:w="3119" w:type="dxa"/>
            <w:shd w:val="clear" w:color="auto" w:fill="D9D9D9" w:themeFill="background1" w:themeFillShade="D9"/>
          </w:tcPr>
          <w:p w:rsidR="007166AE" w:rsidRPr="000D0919" w:rsidP="009B10A5">
            <w:pPr>
              <w:pStyle w:val="Heading3"/>
              <w:spacing w:before="0" w:after="0"/>
              <w:rPr>
                <w:sz w:val="22"/>
                <w:szCs w:val="22"/>
                <w:lang w:val="en-AU"/>
              </w:rPr>
            </w:pPr>
            <w:r w:rsidRPr="000D0919">
              <w:rPr>
                <w:sz w:val="22"/>
                <w:szCs w:val="22"/>
                <w:lang w:val="en-AU"/>
              </w:rPr>
              <w:t>Context challenges</w:t>
            </w:r>
          </w:p>
        </w:tc>
        <w:tc>
          <w:tcPr>
            <w:tcW w:w="11996" w:type="dxa"/>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Le Page Primary School is a dynamic and inclusive community school with approximately 215 students. The school is recognised for its strong commitment to meeting the diverse academic, social, and wellbeing needs of its learners and for creating a nurturing environment in which all students can grow, achieve, and feel connected.</w:t>
              <w:br/>
              <w:br/>
              <w:t>A defining characteristic of the school’s context is the complexity of student learning needs, reflected in the fact that 46% of students are currently on Individual Education Plans (IEPs). This unusually high percentage indicates that nearly half of the student population requires differentiated instruction, tailored learning goals, and ongoing monitoring through Student Support Groups (SSGs). The high level of need places significant demands on classroom instruction, planning, assessment, and resourcing, and underscores the importance of consistent, high-quality, evidence-based teaching practices across all year levels.</w:t>
              <w:br/>
              <w:br/>
              <w:t>The school also experiences high rates of student absenteeism, with a substantial proportion of students recording more than 20 days absent annually. Absenteeism is particularly pronounced among equity-funded students. These gaps in school attendance create challenges in maintaining learning continuity, achieving expected learning growth, and fostering long-term engagement. As a result, attendance improvement has emerged as a critical priority requiring strengthened monitoring processes, early intervention, and increased collaboration with families.</w:t>
              <w:br/>
              <w:br/>
              <w:t>Supporting these needs is a workforce profile marked by more Education Support (ES) staff than teachers, reflecting the significant requirement for in-class support, wellbeing interventions, targeted adjustments, and behaviour regulation strategies. While ES staff provide essential assistance in meeting diverse student needs, this staffing ratio also presents operational challenges: maintaining consistent instructional expectations, ensuring all staff have appropriate training, and keeping teacher-led pedagogy central to classroom practice.</w:t>
              <w:br/>
              <w:br/>
              <w:t>Despite these complexities, the school community expresses strong confidence and satisfaction in its direction, climate, and culture. Across the Attitudes to School Survey (students), Parent/Caregiver/Guardian Opinion Survey, and School Staff Survey, Le Page Primary records high positive endorsement levels averaging around 80% across key elements. These include:</w:t>
              <w:br/>
              <w:br/>
              <w:t>Student feedback on school connectedness, effective teaching, confidence, and classroom behaviour</w:t>
              <w:br/>
              <w:br/>
              <w:t>Parent endorsements of student engagement, safety, communication, and positive behaviour</w:t>
              <w:br/>
              <w:br/>
              <w:t>Staff survey results affirming collaboration, school climate, leadership, and collective efficacy</w:t>
              <w:br/>
              <w:br/>
              <w:t>These strong endorsement levels highlight the school’s success in building a positive, safe, inclusive and values-driven environment—despite the challenges associated with high needs and absenteeism.</w:t>
              <w:br/>
              <w:br/>
              <w:t>The school review identified several key challenges that now guide the strategic improvement agenda:</w:t>
              <w:br/>
              <w:br/>
              <w:t>Variability in teaching practice across classrooms, particularly in explicit instruction, differentiation, and use of formative assessment</w:t>
              <w:br/>
              <w:br/>
              <w:t>Inconsistency in curriculum documentation and planning, requiring refined Playbooks, alignment with VTLM 2.0, and clearer instructional models</w:t>
              <w:br/>
              <w:br/>
              <w:t>A need to strengthen teacher capability in the analysis and use of data, including the use of formative assessment and student feedback</w:t>
              <w:br/>
              <w:br/>
              <w:t>While wellbeing programs such as The Leader in Me are strong, the school requires a more cohesive, school-wide approach to behaviour, engagement, and wellbeing aligned with Positive Classroom Management strategies</w:t>
              <w:br/>
              <w:br/>
              <w:t>Attendance processes and communication systems require improvement to better support early identification and intervention</w:t>
              <w:br/>
              <w:br/>
              <w:t>Student voice and agency are developing, but there is a need to expand goal-setting, reflection, and decision-making opportunities to build confident, independent learners</w:t>
              <w:br/>
              <w:br/>
              <w:t>Overall, Le Page Primary School is a community with strong foundational relationships, a positive climate, and a dedicated staff committed to supporting every student. These strengths provide a solid platform for the next School Strategic Plan, which will focus on strengthening instructional consistency, improving attendance, enhancing student engagement and voice, and supporting strong academic growth across literacy and numeracy.</w:t>
              <w:br/>
            </w:r>
          </w:p>
        </w:tc>
      </w:tr>
      <w:tr w:rsidTr="009B10A5">
        <w:tblPrEx>
          <w:tblW w:w="15115" w:type="dxa"/>
          <w:tblInd w:w="-450" w:type="dxa"/>
          <w:tblCellMar>
            <w:top w:w="115" w:type="dxa"/>
            <w:left w:w="115" w:type="dxa"/>
            <w:bottom w:w="115" w:type="dxa"/>
            <w:right w:w="115" w:type="dxa"/>
          </w:tblCellMar>
          <w:tblLook w:val="04A0"/>
        </w:tblPrEx>
        <w:trPr>
          <w:trHeight w:val="15"/>
        </w:trPr>
        <w:tc>
          <w:tcPr>
            <w:tcW w:w="3119" w:type="dxa"/>
            <w:shd w:val="clear" w:color="auto" w:fill="D9D9D9" w:themeFill="background1" w:themeFillShade="D9"/>
          </w:tcPr>
          <w:p w:rsidR="007166AE" w:rsidRPr="000D0919" w:rsidP="009B10A5">
            <w:pPr>
              <w:pStyle w:val="Heading3"/>
              <w:spacing w:before="0" w:after="0"/>
              <w:rPr>
                <w:sz w:val="22"/>
                <w:szCs w:val="22"/>
                <w:lang w:val="en-AU"/>
              </w:rPr>
            </w:pPr>
            <w:r w:rsidRPr="000D0919">
              <w:rPr>
                <w:sz w:val="22"/>
                <w:szCs w:val="22"/>
                <w:lang w:val="en-AU"/>
              </w:rPr>
              <w:t xml:space="preserve">Intent, </w:t>
            </w:r>
            <w:r w:rsidRPr="000D0919">
              <w:rPr>
                <w:sz w:val="22"/>
                <w:szCs w:val="22"/>
                <w:lang w:val="en-AU"/>
              </w:rPr>
              <w:t>rationale</w:t>
            </w:r>
            <w:r w:rsidRPr="000D0919">
              <w:rPr>
                <w:sz w:val="22"/>
                <w:szCs w:val="22"/>
                <w:lang w:val="en-AU"/>
              </w:rPr>
              <w:t xml:space="preserve"> and focus</w:t>
            </w:r>
          </w:p>
        </w:tc>
        <w:tc>
          <w:tcPr>
            <w:tcW w:w="11996" w:type="dxa"/>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Intent - What the school aims to achieve</w:t>
              <w:br/>
              <w:br/>
              <w:t>1. Improve student learning growth in literacy and numeracy</w:t>
              <w:br/>
              <w:t>- Strengthen consistent, evidence-based teaching aligned with VTLM 2.0.</w:t>
              <w:br/>
              <w:t>- Increase student achievement and growth across all year levels, particularly in Reading, Writing, and Numeracy.</w:t>
              <w:br/>
              <w:t>- Improve differentiation and enrichment to extend and challenge all learners.</w:t>
              <w:br/>
              <w:br/>
              <w:t>2. Maintain and enhance student engagement, wellbeing, and attendance</w:t>
              <w:br/>
              <w:t>- Strengthen school-wide wellbeing systems and Positive Behaviour approaches.</w:t>
              <w:br/>
              <w:t>- Improve student voice, agency, confidence, resilience, and connectedness.</w:t>
              <w:br/>
              <w:t>- Address high absence rates, with a focus on early intervention and family partnerships.</w:t>
              <w:br/>
              <w:br/>
              <w:t>3. Build consistent instructional practice across the school</w:t>
              <w:br/>
              <w:t>- Develop and embed Playbooks, planning documents, and instructional models.</w:t>
              <w:br/>
              <w:t>- Strengthen teacher capacity in data analysis, formative assessment, and feedback.</w:t>
              <w:br/>
              <w:t>- Ensure teaching quality is strong, predictable, and aligned across all classrooms.</w:t>
              <w:br/>
              <w:br/>
              <w:t>Rationale - Why this matters</w:t>
              <w:br/>
              <w:br/>
              <w:t>- 46% of students are on Individual Education Plans (IEPs), indicating substantial personalised learning needs.</w:t>
              <w:br/>
              <w:t>- Attendance remains a concern, with 48% of students recording more than 20 days of absence, impacting learning outcomes.</w:t>
              <w:br/>
              <w:t>- Strong wellbeing foundations must be sustained while improving consistency in classroom practice.</w:t>
              <w:br/>
              <w:t>- Staff and survey data highlight the need to improve formative assessment, use of data, enrichment practices, and feedback cycles.</w:t>
              <w:br/>
              <w:br/>
              <w:t>Focus - How the next 4 years will unfold</w:t>
              <w:br/>
              <w:br/>
              <w:t>Priority 1: Learning Growth (Literacy &amp; Numeracy)</w:t>
              <w:br/>
              <w:t>- Implement VTLM 2.0, PHORMES (F–2), and the new Victorian Curriculum 2.0.</w:t>
              <w:br/>
              <w:t>- Embed explicit teaching, Playbooks, and consistent lesson structures.</w:t>
              <w:br/>
              <w:t>- Build teacher capacity in data use and feedback.</w:t>
              <w:br/>
              <w:t>- Improve NAPLAN growth and proficiency, and increase above-expected Victorian Curriculum growth.</w:t>
              <w:br/>
              <w:br/>
              <w:t>Priority 2: Engagement, Wellbeing, &amp; Attendance</w:t>
              <w:br/>
              <w:t>- Refine whole-school wellbeing, engagement, and attendance processes.</w:t>
              <w:br/>
              <w:t>- Strengthen Positive Behaviour approaches aligned with VTLM 2.0.</w:t>
              <w:br/>
              <w:t>- Improve attendance monitoring, communication, and support for families.</w:t>
              <w:br/>
              <w:t>- Extend student agency, voice, and learning independence.</w:t>
              <w:br/>
              <w:br/>
              <w:t>Priority 3: Department Priorities – VTLM 2.0 &amp; F–2 Reading</w:t>
              <w:br/>
              <w:t>- Prioritise professional learning and PLC structures aligned with VTLM 2.0.</w:t>
              <w:br/>
              <w:t>- Embed PHORMES and OCHRE supports for Reading and Writing.</w:t>
              <w:br/>
              <w:t>- Build a shared pedagogical language and consistent expectations across the school.</w:t>
              <w:br/>
              <w:br/>
            </w:r>
          </w:p>
        </w:tc>
      </w:tr>
    </w:tbl>
    <w:p w:rsidR="007166AE" w:rsidRPr="000D0919" w:rsidP="007166AE">
      <w:pPr>
        <w:pStyle w:val="ESIntroParagraph"/>
        <w:ind w:left="-567" w:right="1708" w:firstLine="27"/>
        <w:rPr>
          <w:color w:val="595959" w:themeColor="text1" w:themeTint="A6"/>
          <w:lang w:val="en-AU"/>
        </w:rPr>
      </w:pPr>
    </w:p>
    <w:p w:rsidR="007166AE" w:rsidRPr="000D0919" w:rsidP="007166AE">
      <w:pPr>
        <w:pStyle w:val="ESIntroParagraph"/>
        <w:ind w:left="-567" w:right="1708" w:firstLine="27"/>
        <w:rPr>
          <w:color w:val="595959" w:themeColor="text1" w:themeTint="A6"/>
          <w:lang w:val="en-AU"/>
        </w:rPr>
      </w:pPr>
    </w:p>
    <w:p w:rsidR="007166AE" w:rsidRPr="000D0919" w:rsidP="007166AE">
      <w:pPr>
        <w:pStyle w:val="ESIntroParagraph"/>
        <w:ind w:left="-567" w:right="1708" w:firstLine="27"/>
        <w:rPr>
          <w:color w:val="595959" w:themeColor="text1" w:themeTint="A6"/>
          <w:sz w:val="24"/>
          <w:szCs w:val="24"/>
          <w:lang w:val="en-AU"/>
        </w:rPr>
      </w:pPr>
    </w:p>
    <w:p w:rsidR="007166AE" w:rsidRPr="000D0919" w:rsidP="007166AE">
      <w:pPr>
        <w:pStyle w:val="ESIntroParagraph"/>
        <w:ind w:left="-567" w:right="1708" w:firstLine="27"/>
        <w:rPr>
          <w:color w:val="595959" w:themeColor="text1" w:themeTint="A6"/>
          <w:sz w:val="24"/>
          <w:szCs w:val="24"/>
          <w:lang w:val="en-AU"/>
        </w:rPr>
      </w:pPr>
    </w:p>
    <w:p w:rsidR="007166AE" w:rsidRPr="000D0919" w:rsidP="007166AE">
      <w:pPr>
        <w:pStyle w:val="ESIntroParagraph"/>
        <w:ind w:left="-567" w:right="1708" w:firstLine="27"/>
        <w:rPr>
          <w:color w:val="595959" w:themeColor="text1" w:themeTint="A6"/>
          <w:sz w:val="20"/>
          <w:szCs w:val="20"/>
          <w:lang w:val="en-AU"/>
        </w:rPr>
      </w:pPr>
    </w:p>
    <w:p w:rsidR="007166AE" w:rsidRPr="000D0919" w:rsidP="007166AE">
      <w:pPr>
        <w:pStyle w:val="ESIntroParagraph"/>
        <w:ind w:right="1708"/>
        <w:rPr>
          <w:color w:val="595959" w:themeColor="text1" w:themeTint="A6"/>
          <w:lang w:val="en-AU"/>
        </w:rPr>
        <w:sectPr w:rsidSect="008E169D">
          <w:headerReference w:type="even" r:id="rId15"/>
          <w:headerReference w:type="default" r:id="rId16"/>
          <w:footerReference w:type="default" r:id="rId17"/>
          <w:headerReference w:type="first" r:id="rId18"/>
          <w:pgSz w:w="16838" w:h="11906" w:orient="landscape" w:code="9"/>
          <w:pgMar w:top="1304" w:right="2036" w:bottom="1240" w:left="1304" w:header="624" w:footer="532" w:gutter="0"/>
          <w:pgNumType w:start="2"/>
          <w:cols w:space="397"/>
          <w:docGrid w:linePitch="360"/>
        </w:sectPr>
      </w:pPr>
    </w:p>
    <w:p w:rsidR="007166AE" w:rsidRPr="000D0919" w:rsidP="007166AE">
      <w:pPr>
        <w:ind w:left="-540" w:right="-632"/>
        <w:rPr>
          <w:b/>
          <w:color w:val="AF272F"/>
          <w:sz w:val="36"/>
          <w:szCs w:val="44"/>
          <w:lang w:val="en-AU"/>
        </w:rPr>
      </w:pPr>
      <w:r w:rsidRPr="000D0919">
        <w:rPr>
          <w:b/>
          <w:color w:val="AF272F"/>
          <w:sz w:val="36"/>
          <w:szCs w:val="44"/>
          <w:lang w:val="en-AU"/>
        </w:rPr>
        <w:t xml:space="preserve">School Strategic Plan - </w:t>
      </w:r>
      <w:r w:rsidRPr="000D0919">
        <w:rPr>
          <w:b/>
          <w:noProof/>
          <w:color w:val="AF272F"/>
          <w:sz w:val="36"/>
          <w:szCs w:val="44"/>
          <w:lang w:val="en-AU"/>
        </w:rPr>
        <w:t>2025-2029</w:t>
      </w:r>
    </w:p>
    <w:p w:rsidR="007166AE" w:rsidRPr="000D0919" w:rsidP="007166AE">
      <w:pPr>
        <w:ind w:left="-540" w:right="-632"/>
        <w:rPr>
          <w:color w:val="595959" w:themeColor="text1" w:themeTint="A6"/>
          <w:sz w:val="28"/>
          <w:szCs w:val="28"/>
          <w:lang w:val="en-AU"/>
        </w:rPr>
      </w:pPr>
      <w:r w:rsidRPr="000D0919">
        <w:rPr>
          <w:noProof/>
          <w:color w:val="595959" w:themeColor="text1" w:themeTint="A6"/>
          <w:sz w:val="28"/>
          <w:szCs w:val="28"/>
          <w:lang w:val="en-AU"/>
        </w:rPr>
        <w:t>Le Page Primary School (5422)</w:t>
      </w:r>
    </w:p>
    <w:p w:rsidR="007166AE" w:rsidRPr="000D0919" w:rsidP="007166AE">
      <w:pPr>
        <w:pStyle w:val="ESIntroParagraph"/>
        <w:ind w:left="-567" w:right="1708" w:firstLine="27"/>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tblPr>
      <w:tblGrid>
        <w:gridCol w:w="4055"/>
        <w:gridCol w:w="11060"/>
      </w:tblGrid>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 w:val="24"/>
                <w:szCs w:val="24"/>
                <w:lang w:val="en-AU"/>
              </w:rPr>
            </w:pPr>
            <w:r w:rsidRPr="000D0919">
              <w:rPr>
                <w:rFonts w:ascii="Arial" w:eastAsia="Arial" w:hAnsi="Arial" w:cs="Arial"/>
                <w:b/>
                <w:sz w:val="24"/>
                <w:szCs w:val="24"/>
                <w:lang w:val="en-AU"/>
              </w:rPr>
              <w:t>Goal 1</w:t>
            </w:r>
          </w:p>
        </w:tc>
        <w:tc>
          <w:tcPr>
            <w:tcW w:w="11060" w:type="dxa"/>
            <w:shd w:val="clear" w:color="auto" w:fill="FFFFFF" w:themeFill="background1"/>
          </w:tcPr>
          <w:p w:rsidR="007166AE" w:rsidRPr="000D0919" w:rsidP="009B10A5">
            <w:pPr>
              <w:pStyle w:val="ESBodyText"/>
              <w:spacing w:after="0"/>
              <w:rPr>
                <w:rFonts w:ascii="Arial" w:eastAsia="Arial" w:hAnsi="Arial" w:cs="Arial"/>
                <w:b w:val="0"/>
                <w:color w:val="auto"/>
                <w:sz w:val="22"/>
                <w:szCs w:val="24"/>
                <w:lang w:val="en-AU"/>
              </w:rPr>
            </w:pPr>
            <w:r w:rsidRPr="000D0919">
              <w:rPr>
                <w:rStyle w:val="DefaultParagraphFont"/>
                <w:rFonts w:ascii="Arial" w:eastAsia="Arial" w:hAnsi="Arial" w:cs="Arial"/>
                <w:b w:val="0"/>
                <w:color w:val="auto"/>
                <w:sz w:val="22"/>
                <w:szCs w:val="24"/>
              </w:rPr>
              <w:t>Improve student learning growth in literacy and numeracy</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1.1</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maintain or increase the percentage of Year 5 students achieving medium and high benchmark growth in NAPLAN for:</w:t>
            </w:r>
          </w:p>
          <w:p>
            <w:pPr>
              <w:numPr>
                <w:ilvl w:val="0"/>
                <w:numId w:val="18"/>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Reading from 66% (2025) to 75%</w:t>
            </w:r>
          </w:p>
          <w:p>
            <w:pPr>
              <w:numPr>
                <w:ilvl w:val="0"/>
                <w:numId w:val="18"/>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Writing maintained at 74% (2025)</w:t>
            </w:r>
          </w:p>
          <w:p>
            <w:pPr>
              <w:numPr>
                <w:ilvl w:val="0"/>
                <w:numId w:val="18"/>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Numeracy from 69% (2025) to 74%.</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1.2</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maintain or increase the average percentage of Year 3 and Year 5 students achieving Exceeding &amp; Strong NAPLAN proficiency levels for:</w:t>
            </w:r>
          </w:p>
          <w:p>
            <w:pPr>
              <w:numPr>
                <w:ilvl w:val="0"/>
                <w:numId w:val="19"/>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Year 3 Numeracy from 54% (2023-2025) to 66% (2026-2029)</w:t>
            </w:r>
          </w:p>
          <w:p>
            <w:pPr>
              <w:numPr>
                <w:ilvl w:val="0"/>
                <w:numId w:val="19"/>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Year 3 Reading from 65% (2023-2025) to 69% (2026-2029)</w:t>
            </w:r>
          </w:p>
          <w:p>
            <w:pPr>
              <w:numPr>
                <w:ilvl w:val="0"/>
                <w:numId w:val="19"/>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Year 3 Writing from 73% (2023-2025) to 79% (2026-2029)</w:t>
            </w:r>
          </w:p>
          <w:p>
            <w:pPr>
              <w:numPr>
                <w:ilvl w:val="0"/>
                <w:numId w:val="19"/>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Year 5 Numeracy from 64% (2023-2025) to 69% (2026-2029)</w:t>
            </w:r>
          </w:p>
          <w:p>
            <w:pPr>
              <w:numPr>
                <w:ilvl w:val="0"/>
                <w:numId w:val="19"/>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Year 5 Reading from 71% (2023-2025) to 74% (2026-2029)</w:t>
            </w:r>
          </w:p>
          <w:p>
            <w:pPr>
              <w:numPr>
                <w:ilvl w:val="0"/>
                <w:numId w:val="19"/>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Year 5 Writing maintained at 79% (2023-2025).</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1.3</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increase the average percentage of students in P-6 achieving above age expected growth against the Victorian Curriculum 2.0, according to Teacher Judgements in: </w:t>
            </w:r>
          </w:p>
          <w:p>
            <w:pPr>
              <w:numPr>
                <w:ilvl w:val="0"/>
                <w:numId w:val="20"/>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Reading from 11% (2025) to 20% (2029).</w:t>
            </w:r>
          </w:p>
          <w:p>
            <w:pPr>
              <w:numPr>
                <w:ilvl w:val="0"/>
                <w:numId w:val="20"/>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Writing from 8% (2025) to 20% (2029).</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1.4</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maintain the percentage of positive responses to the Attitudes to School Survey (AtoSS) for the following factors:</w:t>
            </w:r>
          </w:p>
          <w:p>
            <w:pPr>
              <w:numPr>
                <w:ilvl w:val="0"/>
                <w:numId w:val="21"/>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Stimulated learning at 82% (2025).</w:t>
            </w:r>
          </w:p>
          <w:p>
            <w:pPr>
              <w:numPr>
                <w:ilvl w:val="0"/>
                <w:numId w:val="21"/>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Effective teaching time at 88% (2025)</w:t>
            </w:r>
          </w:p>
          <w:p>
            <w:pPr>
              <w:numPr>
                <w:ilvl w:val="0"/>
                <w:numId w:val="21"/>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Differentiated learning challenge at 85% (2025).</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1.5</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maintain or increase the percentage of positive responses to the School Staff Survey (SSS) for the factors:</w:t>
            </w:r>
          </w:p>
          <w:p>
            <w:pPr>
              <w:numPr>
                <w:ilvl w:val="0"/>
                <w:numId w:val="22"/>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Teaching staff 'believe feedback improves practice' maintained at 84% (2024).</w:t>
            </w:r>
          </w:p>
          <w:p>
            <w:pPr>
              <w:numPr>
                <w:ilvl w:val="0"/>
                <w:numId w:val="22"/>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Education support staff 'believe feedback improves practice' from 65% (2024) to 76%.</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1.6</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increase the percentage of positive responses to the School Staff Survey (SSS) for factors:</w:t>
            </w:r>
          </w:p>
          <w:p>
            <w:pPr>
              <w:numPr>
                <w:ilvl w:val="0"/>
                <w:numId w:val="23"/>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Monitoring effectiveness of using data to improve practice from 79% (2024) to 86%</w:t>
            </w:r>
          </w:p>
          <w:p>
            <w:pPr>
              <w:numPr>
                <w:ilvl w:val="0"/>
                <w:numId w:val="23"/>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Understand formative assessment to improve practice from 63% (2024) to 76%</w:t>
            </w:r>
          </w:p>
          <w:p>
            <w:pPr>
              <w:numPr>
                <w:ilvl w:val="0"/>
                <w:numId w:val="23"/>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Use of student feedback to inform teaching practice from 68% (2024) to 73%.</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9CA6"/>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1.a</w:t>
            </w:r>
          </w:p>
          <w:p>
            <w:r>
              <w:rPr>
                <w:rFonts w:ascii="Arial" w:eastAsia="Arial" w:hAnsi="Arial" w:cs="Arial"/>
                <w:sz w:val="22"/>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Review and revise the instructional model and planning documentation to align with effective and consistent implementation of VTLM 2.0.</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642667"/>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1.a</w:t>
            </w:r>
          </w:p>
          <w:p>
            <w:r>
              <w:rPr>
                <w:rFonts w:ascii="Arial" w:eastAsia="Arial" w:hAnsi="Arial" w:cs="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E35205"/>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1.a</w:t>
            </w:r>
          </w:p>
          <w:p>
            <w:r>
              <w:rPr>
                <w:rFonts w:ascii="Arial" w:eastAsia="Arial" w:hAnsi="Arial" w:cs="Arial"/>
                <w:sz w:val="22"/>
              </w:rPr>
              <w:t xml:space="preserve">The strategic direction and deployment of resources to create and reflect shared goals and values; high expectations; and a positive, safe and orderly learning environment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9CA6"/>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1.b</w:t>
            </w:r>
          </w:p>
          <w:p>
            <w:r>
              <w:rPr>
                <w:rFonts w:ascii="Arial" w:eastAsia="Arial" w:hAnsi="Arial" w:cs="Arial"/>
                <w:sz w:val="22"/>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Embed consistent differentiation and enrichment practices that extend and challenge students.</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50032"/>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1.b</w:t>
            </w:r>
          </w:p>
          <w:p>
            <w:r>
              <w:rPr>
                <w:rFonts w:ascii="Arial" w:eastAsia="Arial" w:hAnsi="Arial" w:cs="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642667"/>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1.b</w:t>
            </w:r>
          </w:p>
          <w:p>
            <w:r>
              <w:rPr>
                <w:rFonts w:ascii="Arial" w:eastAsia="Arial" w:hAnsi="Arial" w:cs="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72CE"/>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1.c</w:t>
            </w:r>
          </w:p>
          <w:p>
            <w:r>
              <w:rPr>
                <w:rFonts w:ascii="Arial" w:eastAsia="Arial" w:hAnsi="Arial" w:cs="Arial"/>
                <w:sz w:val="22"/>
              </w:rPr>
              <w:t xml:space="preserve">Systematic use of assessment strategies and measurement practices to obtain and provide feedback on student learning growth, attainment and wellbeing capabilities </w:t>
            </w:r>
          </w:p>
        </w:tc>
        <w:tc>
          <w:tcPr>
            <w:tcW w:w="11060" w:type="dxa"/>
            <w:vMerge w:val="restart"/>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Strengthen teacher capacity to analyse and use data to inform teaching and learning</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9CA6"/>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1.c</w:t>
            </w:r>
          </w:p>
          <w:p>
            <w:r>
              <w:rPr>
                <w:rFonts w:ascii="Arial" w:eastAsia="Arial" w:hAnsi="Arial" w:cs="Arial"/>
                <w:sz w:val="22"/>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9CA6"/>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1.d</w:t>
            </w:r>
          </w:p>
          <w:p>
            <w:r>
              <w:rPr>
                <w:rFonts w:ascii="Arial" w:eastAsia="Arial" w:hAnsi="Arial" w:cs="Arial"/>
                <w:sz w:val="22"/>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Strengthen the consistency of planning and implementation of instructional practices across all year levels</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E35205"/>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1.d</w:t>
            </w:r>
          </w:p>
          <w:p>
            <w:r>
              <w:rPr>
                <w:rFonts w:ascii="Arial" w:eastAsia="Arial" w:hAnsi="Arial" w:cs="Arial"/>
                <w:sz w:val="22"/>
              </w:rPr>
              <w:t xml:space="preserve">The strategic direction and deployment of resources to create and reflect shared goals and values; high expectations; and a positive, safe and orderly learning environment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9CA6"/>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1.e</w:t>
            </w:r>
          </w:p>
          <w:p>
            <w:r>
              <w:rPr>
                <w:rFonts w:ascii="Arial" w:eastAsia="Arial" w:hAnsi="Arial" w:cs="Arial"/>
                <w:sz w:val="22"/>
              </w:rPr>
              <w:t xml:space="preserve">Documented teaching and learning program based on the Victorian Curriculum and senior secondary pathways, incorporating extra-curricula programs </w:t>
            </w:r>
          </w:p>
        </w:tc>
        <w:tc>
          <w:tcPr>
            <w:tcW w:w="11060" w:type="dxa"/>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Systematic embedding of observational rounds and feedback</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 w:val="24"/>
                <w:szCs w:val="24"/>
                <w:lang w:val="en-AU"/>
              </w:rPr>
            </w:pPr>
            <w:r w:rsidRPr="000D0919">
              <w:rPr>
                <w:rFonts w:ascii="Arial" w:eastAsia="Arial" w:hAnsi="Arial" w:cs="Arial"/>
                <w:b/>
                <w:sz w:val="24"/>
                <w:szCs w:val="24"/>
                <w:lang w:val="en-AU"/>
              </w:rPr>
              <w:t>Goal 2</w:t>
            </w:r>
          </w:p>
        </w:tc>
        <w:tc>
          <w:tcPr>
            <w:tcW w:w="11060" w:type="dxa"/>
            <w:shd w:val="clear" w:color="auto" w:fill="FFFFFF" w:themeFill="background1"/>
          </w:tcPr>
          <w:p w:rsidR="007166AE" w:rsidRPr="000D0919" w:rsidP="009B10A5">
            <w:pPr>
              <w:pStyle w:val="ESBodyText"/>
              <w:spacing w:after="0"/>
              <w:rPr>
                <w:rFonts w:ascii="Arial" w:eastAsia="Arial" w:hAnsi="Arial" w:cs="Arial"/>
                <w:b w:val="0"/>
                <w:color w:val="auto"/>
                <w:sz w:val="22"/>
                <w:szCs w:val="24"/>
                <w:lang w:val="en-AU"/>
              </w:rPr>
            </w:pPr>
            <w:r w:rsidRPr="000D0919">
              <w:rPr>
                <w:rStyle w:val="DefaultParagraphFont"/>
                <w:rFonts w:ascii="Arial" w:eastAsia="Arial" w:hAnsi="Arial" w:cs="Arial"/>
                <w:b w:val="0"/>
                <w:color w:val="auto"/>
                <w:sz w:val="22"/>
                <w:szCs w:val="24"/>
              </w:rPr>
              <w:t>Maintain high levels of student engagement and wellbeing</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2.1</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maintain or increase the percentage of positive responses to the Attitudes to School Survey (AtoSS) for factors:</w:t>
            </w:r>
          </w:p>
          <w:p>
            <w:pPr>
              <w:numPr>
                <w:ilvl w:val="0"/>
                <w:numId w:val="24"/>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Attitudes to attendance at 85% (2024)</w:t>
            </w:r>
          </w:p>
          <w:p>
            <w:pPr>
              <w:numPr>
                <w:ilvl w:val="0"/>
                <w:numId w:val="24"/>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Sense of confidence at 78% (2024)</w:t>
            </w:r>
          </w:p>
          <w:p>
            <w:pPr>
              <w:numPr>
                <w:ilvl w:val="0"/>
                <w:numId w:val="24"/>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Student voice and agency at 71% (2024)</w:t>
            </w:r>
          </w:p>
          <w:p>
            <w:pPr>
              <w:numPr>
                <w:ilvl w:val="0"/>
                <w:numId w:val="24"/>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Perseverance from 74% (2024) to 76%</w:t>
            </w:r>
          </w:p>
          <w:p>
            <w:pPr>
              <w:numPr>
                <w:ilvl w:val="0"/>
                <w:numId w:val="24"/>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Resilience from 65% (2024) to 70%.</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2.2</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decrease the percentage of students with 20 or more days absent from 48% (2024) to 40%.</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9D9D9" w:themeFill="background1" w:themeFillShade="D9"/>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Target 2.3</w:t>
            </w:r>
          </w:p>
        </w:tc>
        <w:tc>
          <w:tcPr>
            <w:tcW w:w="11060" w:type="dxa"/>
            <w:shd w:val="clear" w:color="auto" w:fill="FFFFFF" w:themeFill="background1"/>
          </w:tcPr>
          <w:p>
            <w:pPr>
              <w:rPr>
                <w:rStyle w:val="DefaultParagraphFont"/>
                <w:rFonts w:ascii="Arial" w:eastAsia="Arial" w:hAnsi="Arial" w:cs="Arial"/>
                <w:b w:val="0"/>
                <w:sz w:val="22"/>
                <w:szCs w:val="22"/>
              </w:rPr>
            </w:pPr>
            <w:r>
              <w:rPr>
                <w:rStyle w:val="DefaultParagraphFont"/>
                <w:rFonts w:ascii="Arial" w:eastAsia="Arial" w:hAnsi="Arial" w:cs="Arial"/>
                <w:b w:val="0"/>
                <w:sz w:val="22"/>
              </w:rPr>
              <w:t>By 2029, maintain or increase the percentage of positive endorsements in the Parent/Caregiver/Guardian Opinion Survey (PCGOS) for factors:</w:t>
            </w:r>
          </w:p>
          <w:p>
            <w:pPr>
              <w:numPr>
                <w:ilvl w:val="0"/>
                <w:numId w:val="25"/>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Student connectedness at 89% (2024) </w:t>
            </w:r>
          </w:p>
          <w:p>
            <w:pPr>
              <w:numPr>
                <w:ilvl w:val="0"/>
                <w:numId w:val="25"/>
              </w:numPr>
              <w:ind w:left="720" w:hanging="201"/>
              <w:rPr>
                <w:rStyle w:val="DefaultParagraphFont"/>
                <w:rFonts w:ascii="Arial" w:eastAsia="Arial" w:hAnsi="Arial" w:cs="Arial"/>
                <w:b w:val="0"/>
                <w:sz w:val="22"/>
                <w:szCs w:val="22"/>
              </w:rPr>
            </w:pPr>
            <w:r>
              <w:rPr>
                <w:rStyle w:val="DefaultParagraphFont"/>
                <w:rFonts w:ascii="Arial" w:eastAsia="Arial" w:hAnsi="Arial" w:cs="Arial"/>
                <w:b w:val="0"/>
                <w:sz w:val="22"/>
              </w:rPr>
              <w:t>Promoting positive behaviour from 79% (2024) to 86%.</w:t>
            </w:r>
          </w:p>
          <w:p>
            <w:pPr>
              <w:rPr>
                <w:rFonts w:ascii="Arial" w:eastAsia="Arial" w:hAnsi="Arial" w:cs="Arial"/>
                <w:b w:val="0"/>
                <w:sz w:val="22"/>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E35205"/>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2.a</w:t>
            </w:r>
          </w:p>
          <w:p>
            <w:r>
              <w:rPr>
                <w:rFonts w:ascii="Arial" w:eastAsia="Arial" w:hAnsi="Arial" w:cs="Arial"/>
                <w:sz w:val="22"/>
              </w:rPr>
              <w:t xml:space="preserve">The strategic direction and deployment of resources to create and reflect shared goals and values; high expectations; and a positive, safe and orderly learning environment </w:t>
            </w:r>
          </w:p>
        </w:tc>
        <w:tc>
          <w:tcPr>
            <w:tcW w:w="11060" w:type="dxa"/>
            <w:vMerge w:val="restart"/>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Implement revised approaches for monitoring and communicating student absence and enhance strategies to support students and families.</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50032"/>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2.a</w:t>
            </w:r>
          </w:p>
          <w:p>
            <w:r>
              <w:rPr>
                <w:rFonts w:ascii="Arial" w:eastAsia="Arial" w:hAnsi="Arial" w:cs="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642667"/>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2.a</w:t>
            </w:r>
          </w:p>
          <w:p>
            <w:r>
              <w:rPr>
                <w:rFonts w:ascii="Arial" w:eastAsia="Arial" w:hAnsi="Arial" w:cs="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009CA6"/>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2.b</w:t>
            </w:r>
          </w:p>
          <w:p>
            <w:r>
              <w:rPr>
                <w:rFonts w:ascii="Arial" w:eastAsia="Arial" w:hAnsi="Arial" w:cs="Arial"/>
                <w:sz w:val="22"/>
              </w:rPr>
              <w:t xml:space="preserve">Documented teaching and learning program based on the Victorian Curriculum and senior secondary pathways, incorporating extra-curricula programs </w:t>
            </w:r>
          </w:p>
        </w:tc>
        <w:tc>
          <w:tcPr>
            <w:tcW w:w="11060" w:type="dxa"/>
            <w:vMerge w:val="restart"/>
            <w:shd w:val="clear" w:color="auto" w:fill="FFFFFF" w:themeFill="background1"/>
            <w:noWrap w:val="0"/>
          </w:tcPr>
          <w:p w:rsidR="007166AE" w:rsidRPr="000D0919" w:rsidP="009B10A5">
            <w:pPr>
              <w:pStyle w:val="ESBodyText"/>
              <w:spacing w:after="0"/>
              <w:rPr>
                <w:sz w:val="20"/>
                <w:szCs w:val="24"/>
                <w:lang w:val="en-AU"/>
              </w:rPr>
            </w:pPr>
            <w:r>
              <w:rPr>
                <w:rFonts w:ascii="Arial" w:eastAsia="Arial" w:hAnsi="Arial" w:cs="Arial"/>
                <w:sz w:val="22"/>
              </w:rPr>
              <w:t>Review and revise the engagement and wellbeing model to align with effective and consistent implementation of VTLM 2.0 and the Positive Classroom Management Strategies</w:t>
            </w: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D50032"/>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2.b</w:t>
            </w:r>
          </w:p>
          <w:p>
            <w:r>
              <w:rPr>
                <w:rFonts w:ascii="Arial" w:eastAsia="Arial" w:hAnsi="Arial" w:cs="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r w:rsidTr="009B10A5">
        <w:tblPrEx>
          <w:tblW w:w="15115" w:type="dxa"/>
          <w:tblInd w:w="-450" w:type="dxa"/>
          <w:tblCellMar>
            <w:top w:w="115" w:type="dxa"/>
            <w:left w:w="115" w:type="dxa"/>
            <w:bottom w:w="115" w:type="dxa"/>
            <w:right w:w="115" w:type="dxa"/>
          </w:tblCellMar>
          <w:tblLook w:val="04A0"/>
        </w:tblPrEx>
        <w:trPr>
          <w:trHeight w:val="15"/>
        </w:trPr>
        <w:tc>
          <w:tcPr>
            <w:tcW w:w="4055" w:type="dxa"/>
            <w:shd w:val="clear" w:color="auto" w:fill="642667"/>
            <w:noWrap w:val="0"/>
          </w:tcPr>
          <w:p w:rsidR="007166AE" w:rsidRPr="000D0919" w:rsidP="009B10A5">
            <w:pPr>
              <w:pStyle w:val="Heading3"/>
              <w:spacing w:before="0" w:after="0"/>
              <w:rPr>
                <w:szCs w:val="20"/>
                <w:lang w:val="en-AU"/>
              </w:rPr>
            </w:pPr>
            <w:r w:rsidRPr="000D0919">
              <w:rPr>
                <w:rFonts w:ascii="Arial" w:eastAsia="Arial" w:hAnsi="Arial" w:cs="Arial"/>
                <w:sz w:val="22"/>
                <w:szCs w:val="20"/>
                <w:lang w:val="en-AU"/>
              </w:rPr>
              <w:t>Key Improvement Strategy 2.b</w:t>
            </w:r>
          </w:p>
          <w:p>
            <w:r>
              <w:rPr>
                <w:rFonts w:ascii="Arial" w:eastAsia="Arial" w:hAnsi="Arial" w:cs="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rsidR="007166AE" w:rsidRPr="000D0919" w:rsidP="009B10A5">
            <w:pPr>
              <w:pStyle w:val="ESBodyText"/>
              <w:spacing w:after="0"/>
              <w:rPr>
                <w:sz w:val="20"/>
                <w:szCs w:val="24"/>
                <w:lang w:val="en-AU"/>
              </w:rPr>
            </w:pPr>
          </w:p>
        </w:tc>
      </w:tr>
    </w:tbl>
    <w:p w:rsidR="007166AE" w:rsidRPr="000D0919" w:rsidP="007166AE">
      <w:pPr>
        <w:ind w:right="-632"/>
        <w:rPr>
          <w:b/>
          <w:color w:val="AF272F"/>
          <w:sz w:val="36"/>
          <w:szCs w:val="44"/>
          <w:lang w:val="en-AU"/>
        </w:rPr>
      </w:pPr>
    </w:p>
    <w:p/>
    <w:p/>
    <w:sectPr w:rsidSect="008E169D">
      <w:headerReference w:type="even" r:id="rId19"/>
      <w:headerReference w:type="default" r:id="rId20"/>
      <w:footerReference w:type="default" r:id="rId21"/>
      <w:headerReference w:type="first" r:id="rId22"/>
      <w:pgSz w:w="16838" w:h="11906" w:orient="landscape" w:code="9"/>
      <w:pgMar w:top="1304" w:right="2036" w:bottom="1240" w:left="1304" w:header="624" w:footer="532" w:gutter="0"/>
      <w:pgNumType w:start="1"/>
      <w:cols w:space="3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66AE" w:rsidP="00B076D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sidRPr="003E29B5" w:rsidP="00B076DB">
    <w:r w:rsidRPr="000C104E">
      <w:rPr>
        <w:noProof/>
        <w:lang w:val="en-AU" w:eastAsia="en-AU"/>
      </w:rPr>
      <w:drawing>
        <wp:anchor distT="0" distB="0" distL="114300" distR="114300" simplePos="0" relativeHeight="251674624" behindDoc="1" locked="0" layoutInCell="1" allowOverlap="1">
          <wp:simplePos x="0" y="0"/>
          <wp:positionH relativeFrom="column">
            <wp:posOffset>-141832</wp:posOffset>
          </wp:positionH>
          <wp:positionV relativeFrom="paragraph">
            <wp:posOffset>87809</wp:posOffset>
          </wp:positionV>
          <wp:extent cx="1981200" cy="7048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r w:rsidRPr="003E29B5">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sidRPr="007839E6" w:rsidP="00362A9C">
    <w:pPr>
      <w:pStyle w:val="ESImageorGraphTitle"/>
      <w:rPr>
        <w:b w:val="0"/>
        <w:sz w:val="15"/>
        <w:szCs w:val="15"/>
      </w:rPr>
    </w:pPr>
    <w:r w:rsidRPr="007839E6">
      <w:rPr>
        <w:b w:val="0"/>
        <w:noProof/>
        <w:sz w:val="15"/>
        <w:szCs w:val="15"/>
      </w:rPr>
      <w:t>Le Page Primary School (5422) - School Strategic Plan</w:t>
    </w:r>
    <w:r w:rsidRPr="007839E6">
      <w:rPr>
        <w:b w:val="0"/>
        <w:noProof/>
        <w:sz w:val="15"/>
        <w:szCs w:val="15"/>
        <w:lang w:val="en-AU" w:eastAsia="en-AU"/>
      </w:rPr>
      <w:drawing>
        <wp:anchor distT="0" distB="0" distL="114300" distR="114300" simplePos="0" relativeHeight="251675648" behindDoc="1" locked="0" layoutInCell="1" allowOverlap="1">
          <wp:simplePos x="0" y="0"/>
          <wp:positionH relativeFrom="column">
            <wp:posOffset>11844304</wp:posOffset>
          </wp:positionH>
          <wp:positionV relativeFrom="paragraph">
            <wp:posOffset>-47625</wp:posOffset>
          </wp:positionV>
          <wp:extent cx="1981200" cy="704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556972681"/>
      <w:docPartObj>
        <w:docPartGallery w:val="Page Numbers (Bottom of Page)"/>
        <w:docPartUnique/>
      </w:docPartObj>
    </w:sdtPr>
    <w:sdtEndPr>
      <w:rPr>
        <w:noProof/>
      </w:rPr>
    </w:sdtEndPr>
    <w:sdtContent>
      <w:p w:rsidR="007166AE" w:rsidRPr="007B2B29" w:rsidP="00B076DB">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3</w:t>
        </w:r>
        <w:r w:rsidRPr="007B2B29">
          <w:rPr>
            <w:rFonts w:eastAsia="Arial" w:cs="Times New Roman"/>
            <w:noProof/>
            <w:color w:val="AF272F"/>
            <w:sz w:val="15"/>
            <w:szCs w:val="15"/>
            <w:lang w:val="en-AU"/>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793BFC" w:rsidP="00793BFC">
    <w:pPr>
      <w:pStyle w:val="ESSubheading1"/>
      <w:ind w:firstLine="567"/>
      <w:rPr>
        <w:sz w:val="15"/>
        <w:szCs w:val="15"/>
      </w:rPr>
    </w:pPr>
    <w:r w:rsidRPr="00793BFC">
      <w:rPr>
        <w:noProof/>
        <w:sz w:val="15"/>
        <w:szCs w:val="15"/>
      </w:rPr>
      <w:t>Le Page Primary School (5422) - School Strategic Plan</w:t>
    </w:r>
    <w:r w:rsidRPr="00793BFC" w:rsidR="000C104E">
      <w:rPr>
        <w:noProof/>
        <w:sz w:val="15"/>
        <w:szCs w:val="15"/>
      </w:rPr>
      <w:drawing>
        <wp:anchor distT="0" distB="0" distL="114300" distR="114300" simplePos="0" relativeHeight="251663360" behindDoc="1" locked="0" layoutInCell="1" allowOverlap="1">
          <wp:simplePos x="0" y="0"/>
          <wp:positionH relativeFrom="column">
            <wp:posOffset>11844304</wp:posOffset>
          </wp:positionH>
          <wp:positionV relativeFrom="paragraph">
            <wp:posOffset>-47625</wp:posOffset>
          </wp:positionV>
          <wp:extent cx="1981200" cy="7048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208384299"/>
      <w:docPartObj>
        <w:docPartGallery w:val="Page Numbers (Bottom of Page)"/>
        <w:docPartUnique/>
      </w:docPartObj>
    </w:sdtPr>
    <w:sdtEndPr>
      <w:rPr>
        <w:noProof/>
      </w:rPr>
    </w:sdtEndPr>
    <w:sdtContent>
      <w:p w:rsidR="00000000" w:rsidRPr="007B2B29"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sidR="00606CCB">
          <w:rPr>
            <w:rFonts w:eastAsia="Arial" w:cs="Times New Roman"/>
            <w:noProof/>
            <w:color w:val="AF272F"/>
            <w:sz w:val="15"/>
            <w:szCs w:val="15"/>
            <w:lang w:val="en-AU"/>
          </w:rPr>
          <w:t>1</w:t>
        </w:r>
        <w:r w:rsidRPr="007B2B29">
          <w:rPr>
            <w:rFonts w:eastAsia="Arial" w:cs="Times New Roman"/>
            <w:noProof/>
            <w:color w:val="AF272F"/>
            <w:sz w:val="15"/>
            <w:szCs w:val="15"/>
            <w:lang w:val="en-AU"/>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align>center</wp:align>
              </wp:positionV>
              <wp:extent cx="6350000" cy="2286000"/>
              <wp:effectExtent l="0" t="1428750" r="0" b="1276350"/>
              <wp:wrapNone/>
              <wp:docPr id="15" name="Text Box 1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7456"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pPr>
      <w:pStyle w:val="Header"/>
    </w:pPr>
    <w:r w:rsidRPr="000C104E">
      <w:rPr>
        <w:noProof/>
        <w:lang w:val="en-AU" w:eastAsia="en-AU"/>
      </w:rPr>
      <w:drawing>
        <wp:anchor distT="0" distB="0" distL="114300" distR="114300" simplePos="0" relativeHeight="251672576" behindDoc="1" locked="0" layoutInCell="1" allowOverlap="1">
          <wp:simplePos x="0" y="0"/>
          <wp:positionH relativeFrom="column">
            <wp:posOffset>7883858</wp:posOffset>
          </wp:positionH>
          <wp:positionV relativeFrom="paragraph">
            <wp:posOffset>-378460</wp:posOffset>
          </wp:positionV>
          <wp:extent cx="1991003" cy="74305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rsidR="007166A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center</wp:align>
              </wp:positionV>
              <wp:extent cx="6350000" cy="2286000"/>
              <wp:effectExtent l="0" t="1428750" r="0" b="1276350"/>
              <wp:wrapNone/>
              <wp:docPr id="14" name="Text Box 1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4"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5408"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
      <w:rPr>
        <w:noProof/>
        <w:lang w:val="en-AU" w:eastAsia="en-AU"/>
      </w:rPr>
      <mc:AlternateContent>
        <mc:Choice Requires="wps">
          <w:drawing>
            <wp:anchor distT="0" distB="0" distL="114300" distR="114300" simplePos="0" relativeHeight="251670528" behindDoc="0" locked="0" layoutInCell="1" allowOverlap="1">
              <wp:simplePos x="0" y="0"/>
              <wp:positionH relativeFrom="page">
                <wp:align>center</wp:align>
              </wp:positionH>
              <wp:positionV relativeFrom="page">
                <wp:align>center</wp:align>
              </wp:positionV>
              <wp:extent cx="6350000" cy="2286000"/>
              <wp:effectExtent l="0" t="1428750" r="0" b="1276350"/>
              <wp:wrapNone/>
              <wp:docPr id="5"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1552"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 w:rsidRPr="000C104E">
      <w:rPr>
        <w:noProof/>
        <w:lang w:val="en-AU" w:eastAsia="en-AU"/>
      </w:rPr>
      <w:drawing>
        <wp:anchor distT="0" distB="0" distL="114300" distR="114300" simplePos="0" relativeHeight="251673600" behindDoc="1" locked="0" layoutInCell="1" allowOverlap="1">
          <wp:simplePos x="0" y="0"/>
          <wp:positionH relativeFrom="column">
            <wp:posOffset>11844068</wp:posOffset>
          </wp:positionH>
          <wp:positionV relativeFrom="paragraph">
            <wp:posOffset>-272367</wp:posOffset>
          </wp:positionV>
          <wp:extent cx="1991003" cy="74305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6AE">
    <w:r>
      <w:rPr>
        <w:noProof/>
        <w:lang w:val="en-AU" w:eastAsia="en-AU"/>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align>center</wp:align>
              </wp:positionV>
              <wp:extent cx="6350000" cy="2286000"/>
              <wp:effectExtent l="0" t="1428750" r="0" b="1276350"/>
              <wp:wrapNone/>
              <wp:docPr id="12"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2"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9504"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DD4">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2286000"/>
              <wp:effectExtent l="0" t="1428750" r="0" b="1276350"/>
              <wp:wrapNone/>
              <wp:docPr id="7"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205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3E29B5" w:rsidP="008766A4">
    <w:r w:rsidRPr="000C104E">
      <w:rPr>
        <w:noProof/>
      </w:rPr>
      <w:drawing>
        <wp:anchor distT="0" distB="0" distL="114300" distR="114300" simplePos="0" relativeHeight="251662336" behindDoc="1" locked="0" layoutInCell="1" allowOverlap="1">
          <wp:simplePos x="0" y="0"/>
          <wp:positionH relativeFrom="column">
            <wp:posOffset>11844068</wp:posOffset>
          </wp:positionH>
          <wp:positionV relativeFrom="paragraph">
            <wp:posOffset>-272367</wp:posOffset>
          </wp:positionV>
          <wp:extent cx="1991003" cy="7430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rsidR="00180DD4"/>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DD4">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2286000"/>
              <wp:effectExtent l="0" t="1428750" r="0" b="1276350"/>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5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nsid w:val="FFFFFF7C"/>
    <w:multiLevelType w:val="singleLevel"/>
    <w:tmpl w:val="C9844DB2"/>
    <w:lvl w:ilvl="0">
      <w:start w:val="1"/>
      <w:numFmt w:val="decimal"/>
      <w:lvlText w:val="%1."/>
      <w:lvlJc w:val="left"/>
      <w:pPr>
        <w:tabs>
          <w:tab w:val="num" w:pos="1492"/>
        </w:tabs>
        <w:ind w:left="1492" w:hanging="360"/>
      </w:pPr>
    </w:lvl>
  </w:abstractNum>
  <w:abstractNum w:abstractNumId="2">
    <w:nsid w:val="FFFFFF7D"/>
    <w:multiLevelType w:val="singleLevel"/>
    <w:tmpl w:val="AEDC9C9A"/>
    <w:lvl w:ilvl="0">
      <w:start w:val="1"/>
      <w:numFmt w:val="decimal"/>
      <w:lvlText w:val="%1."/>
      <w:lvlJc w:val="left"/>
      <w:pPr>
        <w:tabs>
          <w:tab w:val="num" w:pos="1209"/>
        </w:tabs>
        <w:ind w:left="1209" w:hanging="360"/>
      </w:pPr>
    </w:lvl>
  </w:abstractNum>
  <w:abstractNum w:abstractNumId="3">
    <w:nsid w:val="FFFFFF7E"/>
    <w:multiLevelType w:val="singleLevel"/>
    <w:tmpl w:val="311ED480"/>
    <w:lvl w:ilvl="0">
      <w:start w:val="1"/>
      <w:numFmt w:val="decimal"/>
      <w:lvlText w:val="%1."/>
      <w:lvlJc w:val="left"/>
      <w:pPr>
        <w:tabs>
          <w:tab w:val="num" w:pos="926"/>
        </w:tabs>
        <w:ind w:left="926" w:hanging="360"/>
      </w:pPr>
    </w:lvl>
  </w:abstractNum>
  <w:abstractNum w:abstractNumId="4">
    <w:nsid w:val="FFFFFF7F"/>
    <w:multiLevelType w:val="singleLevel"/>
    <w:tmpl w:val="821843EA"/>
    <w:lvl w:ilvl="0">
      <w:start w:val="1"/>
      <w:numFmt w:val="decimal"/>
      <w:lvlText w:val="%1."/>
      <w:lvlJc w:val="left"/>
      <w:pPr>
        <w:tabs>
          <w:tab w:val="num" w:pos="643"/>
        </w:tabs>
        <w:ind w:left="643" w:hanging="360"/>
      </w:pPr>
    </w:lvl>
  </w:abstractNum>
  <w:abstractNum w:abstractNumId="5">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36ABC90"/>
    <w:lvl w:ilvl="0">
      <w:start w:val="1"/>
      <w:numFmt w:val="decimal"/>
      <w:lvlText w:val="%1."/>
      <w:lvlJc w:val="left"/>
      <w:pPr>
        <w:tabs>
          <w:tab w:val="num" w:pos="360"/>
        </w:tabs>
        <w:ind w:left="360" w:hanging="360"/>
      </w:pPr>
    </w:lvl>
  </w:abstractNum>
  <w:abstractNum w:abstractNumId="1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nsid w:val="3960527E"/>
    <w:multiLevelType w:val="hybridMultilevel"/>
    <w:tmpl w:val="97505B86"/>
    <w:lvl w:ilvl="0">
      <w:start w:val="1"/>
      <w:numFmt w:val="bullet"/>
      <w:pStyle w:val="ESBulletsinTable"/>
      <w:lvlText w:val=""/>
      <w:lvlJc w:val="left"/>
      <w:pPr>
        <w:ind w:left="360" w:hanging="360"/>
      </w:pPr>
      <w:rPr>
        <w:rFonts w:ascii="Symbol" w:hAnsi="Symbol" w:hint="default"/>
        <w:color w:val="AF272F"/>
      </w:rPr>
    </w:lvl>
    <w:lvl w:ilvl="1">
      <w:start w:val="1"/>
      <w:numFmt w:val="bullet"/>
      <w:pStyle w:val="ESBulletsinTableLevel2"/>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FCB6DE1"/>
    <w:multiLevelType w:val="hybridMultilevel"/>
    <w:tmpl w:val="7FCB6DE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FCB6DE2"/>
    <w:multiLevelType w:val="hybridMultilevel"/>
    <w:tmpl w:val="7FCB6DE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FCB6DE3"/>
    <w:multiLevelType w:val="hybridMultilevel"/>
    <w:tmpl w:val="7FCB6DE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FCB6DE4"/>
    <w:multiLevelType w:val="hybridMultilevel"/>
    <w:tmpl w:val="7FCB6DE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FCB6DE5"/>
    <w:multiLevelType w:val="hybridMultilevel"/>
    <w:tmpl w:val="7FCB6DE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FCB6DE6"/>
    <w:multiLevelType w:val="hybridMultilevel"/>
    <w:tmpl w:val="7FCB6DE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FCB6DE7"/>
    <w:multiLevelType w:val="hybridMultilevel"/>
    <w:tmpl w:val="7FCB6DE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FCB6DE8"/>
    <w:multiLevelType w:val="hybridMultilevel"/>
    <w:tmpl w:val="7FCB6DE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4"/>
  </w:num>
  <w:num w:numId="15">
    <w:abstractNumId w:val="15"/>
  </w:num>
  <w:num w:numId="16">
    <w:abstractNumId w:val="12"/>
  </w:num>
  <w:num w:numId="17">
    <w:abstractNumId w:val="13"/>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autoFormatOverride/>
  <w:defaultTabStop w:val="720"/>
  <w:drawingGridHorizontalSpacing w:val="9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hAnsi="Arial" w:eastAsiaTheme="majorEastAsia"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hAnsi="Arial" w:eastAsiaTheme="majorEastAsia"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hAnsi="Arial" w:eastAsiaTheme="majorEastAsia"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hAnsi="Arial" w:eastAsiaTheme="majorEastAsia"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hAnsi="Arial" w:eastAsiaTheme="majorEastAsia"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3.xml" /><Relationship Id="rId18" Type="http://schemas.openxmlformats.org/officeDocument/2006/relationships/header" Target="head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4.xml" /><Relationship Id="rId22" Type="http://schemas.openxmlformats.org/officeDocument/2006/relationships/header" Target="header9.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3.png" /></Relationships>
</file>

<file path=word/_rels/footer4.xml.rels>&#65279;<?xml version="1.0" encoding="utf-8" standalone="yes"?><Relationships xmlns="http://schemas.openxmlformats.org/package/2006/relationships"><Relationship Id="rId1"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5.xml.rels>&#65279;<?xml version="1.0" encoding="utf-8" standalone="yes"?><Relationships xmlns="http://schemas.openxmlformats.org/package/2006/relationships"><Relationship Id="rId1" Type="http://schemas.openxmlformats.org/officeDocument/2006/relationships/image" Target="media/image2.png" /></Relationships>
</file>

<file path=word/_rels/header8.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3.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78D826A-78A9-4A6C-8034-99F2E8A12FB7}">
  <ds:schemaRefs>
    <ds:schemaRef ds:uri="http://schemas.microsoft.com/sharepoint/events"/>
  </ds:schemaRefs>
</ds:datastoreItem>
</file>

<file path=customXml/itemProps5.xml><?xml version="1.0" encoding="utf-8"?>
<ds:datastoreItem xmlns:ds="http://schemas.openxmlformats.org/officeDocument/2006/customXml" ds:itemID="{4D136B5F-D17E-4173-90ED-A00880D6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2317</TotalTime>
  <Pages>3</Pages>
  <Words>89</Words>
  <Characters>512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Matthew Crilly</cp:lastModifiedBy>
  <cp:revision>95</cp:revision>
  <dcterms:created xsi:type="dcterms:W3CDTF">2017-09-11T05:00:00Z</dcterms:created>
  <dcterms:modified xsi:type="dcterms:W3CDTF">2024-01-31T06:12:00Z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